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D92B" w14:textId="1FB845FE" w:rsidR="0085069B" w:rsidRPr="00992427" w:rsidRDefault="0085069B" w:rsidP="0085069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427">
        <w:rPr>
          <w:rFonts w:ascii="Times New Roman" w:hAnsi="Times New Roman" w:cs="Times New Roman"/>
          <w:b/>
          <w:bCs/>
          <w:sz w:val="28"/>
          <w:szCs w:val="28"/>
        </w:rPr>
        <w:t>ANALISIS</w:t>
      </w:r>
      <w:r w:rsid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E44916" w:rsidRPr="00992427">
        <w:rPr>
          <w:rFonts w:ascii="Times New Roman" w:hAnsi="Times New Roman" w:cs="Times New Roman"/>
          <w:b/>
          <w:bCs/>
          <w:sz w:val="28"/>
          <w:szCs w:val="28"/>
        </w:rPr>
        <w:t>EMAMPUAN</w:t>
      </w:r>
      <w:r w:rsidR="00992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>KONEKSI</w:t>
      </w:r>
      <w:r w:rsid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 xml:space="preserve">MATEMATIKA SISWA </w:t>
      </w:r>
      <w:r w:rsidR="002818ED" w:rsidRPr="00992427">
        <w:rPr>
          <w:rFonts w:ascii="Times New Roman" w:hAnsi="Times New Roman" w:cs="Times New Roman"/>
          <w:b/>
          <w:bCs/>
          <w:sz w:val="28"/>
          <w:szCs w:val="28"/>
        </w:rPr>
        <w:t>DITINJAU</w:t>
      </w:r>
      <w:r w:rsid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>PEMBELAJARAN KEMANDIRIAN</w:t>
      </w:r>
      <w:r w:rsid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>BELAJAR PADA MATERI</w:t>
      </w:r>
      <w:r w:rsid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427">
        <w:rPr>
          <w:rFonts w:ascii="Times New Roman" w:hAnsi="Times New Roman" w:cs="Times New Roman"/>
          <w:b/>
          <w:bCs/>
          <w:sz w:val="28"/>
          <w:szCs w:val="28"/>
        </w:rPr>
        <w:t>MATRIKS</w:t>
      </w:r>
    </w:p>
    <w:p w14:paraId="45C37FC7" w14:textId="77777777" w:rsidR="0085069B" w:rsidRDefault="0085069B" w:rsidP="00850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FF97" w14:textId="73A2C098" w:rsidR="0085069B" w:rsidRPr="00BF5CF4" w:rsidRDefault="0085069B" w:rsidP="00850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5CF4">
        <w:rPr>
          <w:rFonts w:ascii="Times New Roman" w:hAnsi="Times New Roman" w:cs="Times New Roman"/>
          <w:b/>
          <w:bCs/>
          <w:sz w:val="24"/>
          <w:szCs w:val="24"/>
        </w:rPr>
        <w:t>Dzunur</w:t>
      </w:r>
      <w:proofErr w:type="spellEnd"/>
      <w:r w:rsidRPr="00BF5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CF4">
        <w:rPr>
          <w:rFonts w:ascii="Times New Roman" w:hAnsi="Times New Roman" w:cs="Times New Roman"/>
          <w:b/>
          <w:bCs/>
          <w:sz w:val="24"/>
          <w:szCs w:val="24"/>
        </w:rPr>
        <w:t>Aeni</w:t>
      </w:r>
      <w:proofErr w:type="spellEnd"/>
      <w:r w:rsidRPr="00BF5CF4">
        <w:rPr>
          <w:rFonts w:ascii="Times New Roman" w:hAnsi="Times New Roman" w:cs="Times New Roman"/>
          <w:b/>
          <w:bCs/>
          <w:sz w:val="24"/>
          <w:szCs w:val="24"/>
        </w:rPr>
        <w:t xml:space="preserve"> Hanarafa</w:t>
      </w:r>
      <w:r w:rsidRPr="00955E1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5CF4">
        <w:rPr>
          <w:rFonts w:ascii="Times New Roman" w:hAnsi="Times New Roman" w:cs="Times New Roman"/>
          <w:b/>
          <w:bCs/>
          <w:sz w:val="24"/>
          <w:szCs w:val="24"/>
        </w:rPr>
        <w:t>Paridjo</w:t>
      </w:r>
      <w:r w:rsidRPr="00955E1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F5CF4">
        <w:rPr>
          <w:rFonts w:ascii="Times New Roman" w:hAnsi="Times New Roman" w:cs="Times New Roman"/>
          <w:b/>
          <w:bCs/>
          <w:sz w:val="24"/>
          <w:szCs w:val="24"/>
        </w:rPr>
        <w:t>Rizqi</w:t>
      </w:r>
      <w:proofErr w:type="spellEnd"/>
      <w:r w:rsidRPr="00BF5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CF4">
        <w:rPr>
          <w:rFonts w:ascii="Times New Roman" w:hAnsi="Times New Roman" w:cs="Times New Roman"/>
          <w:b/>
          <w:bCs/>
          <w:sz w:val="24"/>
          <w:szCs w:val="24"/>
        </w:rPr>
        <w:t>Amaliyakh</w:t>
      </w:r>
      <w:proofErr w:type="spellEnd"/>
      <w:r w:rsidRPr="00BF5CF4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955E1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3)</w:t>
      </w:r>
    </w:p>
    <w:p w14:paraId="7035299B" w14:textId="45C213A2" w:rsidR="0085069B" w:rsidRPr="00760653" w:rsidRDefault="0085069B" w:rsidP="0085069B">
      <w:pPr>
        <w:spacing w:line="240" w:lineRule="auto"/>
        <w:jc w:val="center"/>
        <w:rPr>
          <w:rFonts w:ascii="Times New Roman" w:hAnsi="Times New Roman" w:cs="Times New Roman"/>
        </w:rPr>
      </w:pPr>
      <w:r w:rsidRPr="00C84D8A">
        <w:rPr>
          <w:rFonts w:ascii="Times New Roman" w:hAnsi="Times New Roman" w:cs="Times New Roman"/>
          <w:vertAlign w:val="superscript"/>
        </w:rPr>
        <w:t>1,2,3</w:t>
      </w:r>
      <w:r w:rsidR="00761BB7">
        <w:rPr>
          <w:rFonts w:ascii="Times New Roman" w:hAnsi="Times New Roman" w:cs="Times New Roman"/>
        </w:rPr>
        <w:t xml:space="preserve">Pendidikan </w:t>
      </w:r>
      <w:proofErr w:type="spellStart"/>
      <w:r w:rsidR="00761BB7">
        <w:rPr>
          <w:rFonts w:ascii="Times New Roman" w:hAnsi="Times New Roman" w:cs="Times New Roman"/>
        </w:rPr>
        <w:t>Matematika</w:t>
      </w:r>
      <w:proofErr w:type="spellEnd"/>
      <w:r w:rsidR="00761BB7">
        <w:rPr>
          <w:rFonts w:ascii="Times New Roman" w:hAnsi="Times New Roman" w:cs="Times New Roman"/>
        </w:rPr>
        <w:t xml:space="preserve"> </w:t>
      </w:r>
      <w:r w:rsidRPr="00760653">
        <w:rPr>
          <w:rFonts w:ascii="Times New Roman" w:hAnsi="Times New Roman" w:cs="Times New Roman"/>
        </w:rPr>
        <w:t xml:space="preserve">Universitas </w:t>
      </w:r>
      <w:proofErr w:type="spellStart"/>
      <w:r w:rsidRPr="00760653">
        <w:rPr>
          <w:rFonts w:ascii="Times New Roman" w:hAnsi="Times New Roman" w:cs="Times New Roman"/>
        </w:rPr>
        <w:t>Pancasakti</w:t>
      </w:r>
      <w:proofErr w:type="spellEnd"/>
      <w:r w:rsidR="00761BB7">
        <w:rPr>
          <w:rFonts w:ascii="Times New Roman" w:hAnsi="Times New Roman" w:cs="Times New Roman"/>
        </w:rPr>
        <w:t xml:space="preserve"> </w:t>
      </w:r>
      <w:proofErr w:type="spellStart"/>
      <w:r w:rsidR="00761BB7">
        <w:rPr>
          <w:rFonts w:ascii="Times New Roman" w:hAnsi="Times New Roman" w:cs="Times New Roman"/>
        </w:rPr>
        <w:t>Tegal</w:t>
      </w:r>
      <w:proofErr w:type="spellEnd"/>
    </w:p>
    <w:p w14:paraId="428A12C6" w14:textId="7C404F5C" w:rsidR="0085069B" w:rsidRPr="00C84D8A" w:rsidRDefault="0085069B" w:rsidP="0085069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Korespondensi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84D8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  <w:hyperlink r:id="rId6" w:history="1">
        <w:r w:rsidRPr="001651C0">
          <w:rPr>
            <w:rStyle w:val="Hyperlink"/>
            <w:rFonts w:ascii="Times New Roman" w:hAnsi="Times New Roman" w:cs="Times New Roman"/>
          </w:rPr>
          <w:t>dzunifai15@gmail.com</w:t>
        </w:r>
      </w:hyperlink>
      <w:r>
        <w:rPr>
          <w:rFonts w:ascii="Times New Roman" w:hAnsi="Times New Roman" w:cs="Times New Roman"/>
        </w:rPr>
        <w:t>,</w:t>
      </w:r>
      <w:r w:rsidRPr="00C84D8A">
        <w:rPr>
          <w:rFonts w:ascii="Times New Roman" w:hAnsi="Times New Roman" w:cs="Times New Roman"/>
          <w:b/>
          <w:bCs/>
        </w:rPr>
        <w:t xml:space="preserve"> </w:t>
      </w:r>
      <w:r w:rsidRPr="00C84D8A">
        <w:rPr>
          <w:rFonts w:ascii="Times New Roman" w:hAnsi="Times New Roman" w:cs="Times New Roman"/>
          <w:b/>
          <w:bCs/>
          <w:vertAlign w:val="superscript"/>
        </w:rPr>
        <w:t>2</w:t>
      </w:r>
      <w:r w:rsidRPr="006D1BAA">
        <w:rPr>
          <w:rFonts w:ascii="Times New Roman" w:hAnsi="Times New Roman" w:cs="Times New Roman"/>
          <w:vertAlign w:val="superscript"/>
        </w:rPr>
        <w:t>)</w:t>
      </w:r>
      <w:hyperlink r:id="rId7" w:history="1">
        <w:r w:rsidRPr="006D1BAA">
          <w:rPr>
            <w:rStyle w:val="Hyperlink"/>
            <w:rFonts w:ascii="Times New Roman" w:hAnsi="Times New Roman" w:cs="Times New Roman"/>
          </w:rPr>
          <w:t>muhparidjo@gmail.com</w:t>
        </w:r>
      </w:hyperlink>
      <w:r w:rsidRPr="006D1BAA">
        <w:rPr>
          <w:rFonts w:ascii="Times New Roman" w:hAnsi="Times New Roman" w:cs="Times New Roman"/>
        </w:rPr>
        <w:t xml:space="preserve">, </w:t>
      </w:r>
      <w:r w:rsidRPr="006D1BA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)</w:t>
      </w:r>
      <w:hyperlink r:id="rId8" w:history="1">
        <w:r w:rsidRPr="001651C0">
          <w:rPr>
            <w:rStyle w:val="Hyperlink"/>
            <w:rFonts w:ascii="Times New Roman" w:hAnsi="Times New Roman" w:cs="Times New Roman"/>
          </w:rPr>
          <w:t>rizqitugas@gmail.com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45FF0C52" w14:textId="77777777" w:rsidR="0085069B" w:rsidRPr="00760653" w:rsidRDefault="0085069B" w:rsidP="0085069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60653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6488902F" w14:textId="74FA6699" w:rsidR="0085069B" w:rsidRDefault="00936EF3" w:rsidP="008506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427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9242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99242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92427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r w:rsidRPr="00992427">
        <w:rPr>
          <w:rFonts w:ascii="Times New Roman" w:hAnsi="Times New Roman" w:cs="Times New Roman"/>
          <w:sz w:val="20"/>
          <w:szCs w:val="20"/>
        </w:rPr>
        <w:t>mendeskripsikan</w:t>
      </w:r>
      <w:proofErr w:type="spellEnd"/>
      <w:r w:rsidR="00481888" w:rsidRP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481888" w:rsidRP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992427" w:rsidRPr="0099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X BDP SMK Negeri 1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Dukuhturi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, (2) </w:t>
      </w:r>
      <w:proofErr w:type="spellStart"/>
      <w:r w:rsidRPr="00992427">
        <w:rPr>
          <w:rFonts w:ascii="Times New Roman" w:hAnsi="Times New Roman" w:cs="Times New Roman"/>
          <w:sz w:val="20"/>
          <w:szCs w:val="20"/>
        </w:rPr>
        <w:t>mendeskripsikan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X BDP SMK Negeri 1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Dukuhturi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, (3) </w:t>
      </w:r>
      <w:proofErr w:type="spellStart"/>
      <w:r w:rsidRPr="00992427">
        <w:rPr>
          <w:rFonts w:ascii="Times New Roman" w:hAnsi="Times New Roman" w:cs="Times New Roman"/>
          <w:sz w:val="20"/>
          <w:szCs w:val="20"/>
        </w:rPr>
        <w:t>mendeskripsikan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CF6510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510" w:rsidRPr="00992427">
        <w:rPr>
          <w:rFonts w:ascii="Times New Roman" w:hAnsi="Times New Roman" w:cs="Times New Roman"/>
          <w:sz w:val="20"/>
          <w:szCs w:val="20"/>
        </w:rPr>
        <w:t>ditinjau</w:t>
      </w:r>
      <w:proofErr w:type="spellEnd"/>
      <w:r w:rsidR="00CF6510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510" w:rsidRPr="0099242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CF6510" w:rsidRPr="00992427">
        <w:rPr>
          <w:rFonts w:ascii="Times New Roman" w:hAnsi="Times New Roman" w:cs="Times New Roman"/>
          <w:sz w:val="20"/>
          <w:szCs w:val="20"/>
        </w:rPr>
        <w:t xml:space="preserve"> </w:t>
      </w:r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belajaran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 w:rsidRPr="00992427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 w:rsidRPr="00992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X BDP SMK Negeri 1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Dukuhturi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matriks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510">
        <w:rPr>
          <w:rFonts w:ascii="Times New Roman" w:hAnsi="Times New Roman" w:cs="Times New Roman"/>
          <w:sz w:val="20"/>
          <w:szCs w:val="20"/>
        </w:rPr>
        <w:t>metodologi</w:t>
      </w:r>
      <w:proofErr w:type="spellEnd"/>
      <w:r w:rsidR="00CF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510">
        <w:rPr>
          <w:rFonts w:ascii="Times New Roman" w:hAnsi="Times New Roman" w:cs="Times New Roman"/>
          <w:sz w:val="20"/>
          <w:szCs w:val="20"/>
        </w:rPr>
        <w:t>kualitatif</w:t>
      </w:r>
      <w:proofErr w:type="spellEnd"/>
      <w:r w:rsidR="00CF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51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Strategi </w:t>
      </w:r>
      <w:r w:rsidR="0085069B">
        <w:rPr>
          <w:rFonts w:ascii="Times New Roman" w:hAnsi="Times New Roman" w:cs="Times New Roman"/>
          <w:i/>
          <w:iCs/>
          <w:sz w:val="20"/>
          <w:szCs w:val="20"/>
        </w:rPr>
        <w:t xml:space="preserve">purposive sampling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mengambil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2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dan 2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angket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5069B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85069B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X BDP SMK Negeri 1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Dukuhturi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kategori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normal pada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klasifikasi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25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(2)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X BDP SMK Negeri 1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Dukuhturi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matriks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klasifikasi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menjawab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pertanyaan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r w:rsidR="00445723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="00CF6510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="00CF6510">
        <w:rPr>
          <w:rFonts w:ascii="Times New Roman" w:hAnsi="Times New Roman" w:cs="Times New Roman"/>
          <w:sz w:val="20"/>
          <w:szCs w:val="20"/>
        </w:rPr>
        <w:t xml:space="preserve"> </w:t>
      </w:r>
      <w:r w:rsidR="0085069B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(3)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4</w:t>
      </w:r>
      <w:r w:rsidR="00445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723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="00445723">
        <w:rPr>
          <w:rFonts w:ascii="Times New Roman" w:hAnsi="Times New Roman" w:cs="Times New Roman"/>
          <w:sz w:val="20"/>
          <w:szCs w:val="20"/>
        </w:rPr>
        <w:t xml:space="preserve"> </w:t>
      </w:r>
      <w:r w:rsidR="0085069B"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3</w:t>
      </w:r>
      <w:r w:rsidR="004457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723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="00445723">
        <w:rPr>
          <w:rFonts w:ascii="Times New Roman" w:hAnsi="Times New Roman" w:cs="Times New Roman"/>
          <w:sz w:val="20"/>
          <w:szCs w:val="20"/>
        </w:rPr>
        <w:t xml:space="preserve"> </w:t>
      </w:r>
      <w:r w:rsidR="0085069B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kemandirian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 1</w:t>
      </w:r>
      <w:r w:rsidR="00445723">
        <w:rPr>
          <w:rFonts w:ascii="Times New Roman" w:hAnsi="Times New Roman" w:cs="Times New Roman"/>
          <w:sz w:val="20"/>
          <w:szCs w:val="20"/>
        </w:rPr>
        <w:t xml:space="preserve">sampai </w:t>
      </w:r>
      <w:r w:rsidR="0085069B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85069B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="0085069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34B555" w14:textId="1AD1A20D" w:rsidR="005A63F9" w:rsidRDefault="0085069B" w:rsidP="008506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r w:rsidR="00481888">
        <w:rPr>
          <w:rFonts w:ascii="Times New Roman" w:hAnsi="Times New Roman" w:cs="Times New Roman"/>
          <w:sz w:val="20"/>
          <w:szCs w:val="20"/>
        </w:rPr>
        <w:t>mampuan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Kemandirian</w:t>
      </w:r>
      <w:proofErr w:type="spellEnd"/>
    </w:p>
    <w:p w14:paraId="4EA6206F" w14:textId="77777777" w:rsidR="0085069B" w:rsidRDefault="0085069B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069B" w:rsidSect="0085069B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5FB14D3A" w14:textId="10CE1FC9" w:rsidR="0085069B" w:rsidRPr="00481888" w:rsidRDefault="0085069B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888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709A23A8" w14:textId="77777777" w:rsidR="00AB071F" w:rsidRPr="00481888" w:rsidRDefault="00AB071F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Supardi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2012:14).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kapasitas-kapasitas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Rusma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 2016:134).</w:t>
      </w:r>
    </w:p>
    <w:p w14:paraId="231F6A31" w14:textId="5E79D1B8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NCTM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(National Council Of Teacher Of Mathematics) salah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menururt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NCTM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berinisiatif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pandemic covid-</w:t>
      </w:r>
      <w:proofErr w:type="gramStart"/>
      <w:r w:rsidRPr="00481888">
        <w:rPr>
          <w:rFonts w:ascii="Times New Roman" w:hAnsi="Times New Roman" w:cs="Times New Roman"/>
          <w:sz w:val="24"/>
          <w:szCs w:val="24"/>
        </w:rPr>
        <w:t xml:space="preserve">19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dunia Pendidikan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media internet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google classroom, zoom, google meet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Lestari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Yudhanegara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(2015:37), media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SMK Negeri 1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Dukuhturi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Classrom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WhatApp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022463FB" w14:textId="0513BBD0" w:rsidR="00445723" w:rsidRPr="00481888" w:rsidRDefault="0085069B" w:rsidP="00936E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guru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di SMK Negeri 1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Dukuhturi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Arie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setyani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KKM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75. Serta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 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Hal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23" w:rsidRPr="00481888">
        <w:rPr>
          <w:rFonts w:ascii="Times New Roman" w:hAnsi="Times New Roman" w:cs="Times New Roman"/>
          <w:sz w:val="24"/>
          <w:szCs w:val="24"/>
        </w:rPr>
        <w:t>d</w:t>
      </w:r>
      <w:r w:rsidRPr="00481888">
        <w:rPr>
          <w:rFonts w:ascii="Times New Roman" w:hAnsi="Times New Roman" w:cs="Times New Roman"/>
          <w:sz w:val="24"/>
          <w:szCs w:val="24"/>
        </w:rPr>
        <w:t>itinjau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23" w:rsidRPr="00481888">
        <w:rPr>
          <w:rFonts w:ascii="Times New Roman" w:hAnsi="Times New Roman" w:cs="Times New Roman"/>
          <w:sz w:val="24"/>
          <w:szCs w:val="24"/>
        </w:rPr>
        <w:t>d</w:t>
      </w:r>
      <w:r w:rsidRPr="00481888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.</w:t>
      </w:r>
    </w:p>
    <w:p w14:paraId="3B2A2886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888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5B617611" w14:textId="77777777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rakajat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Bahasa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Adapun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(2)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data.   Adapun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888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14:paraId="44FB5EC4" w14:textId="66E76FC8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888">
        <w:rPr>
          <w:rFonts w:ascii="Times New Roman" w:hAnsi="Times New Roman" w:cs="Times New Roman"/>
          <w:sz w:val="24"/>
          <w:szCs w:val="24"/>
        </w:rPr>
        <w:t>data  pada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daftar-daftar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script hail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r w:rsidRPr="00481888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.  Dimana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 orang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dan 2 orang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rata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-rata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:</w:t>
      </w:r>
    </w:p>
    <w:p w14:paraId="7A6F50F4" w14:textId="77777777" w:rsidR="0085069B" w:rsidRPr="00481888" w:rsidRDefault="0085069B" w:rsidP="0085069B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PlainTable2"/>
        <w:tblW w:w="4437" w:type="dxa"/>
        <w:tblLook w:val="04A0" w:firstRow="1" w:lastRow="0" w:firstColumn="1" w:lastColumn="0" w:noHBand="0" w:noVBand="1"/>
      </w:tblPr>
      <w:tblGrid>
        <w:gridCol w:w="2410"/>
        <w:gridCol w:w="2027"/>
      </w:tblGrid>
      <w:tr w:rsidR="00481888" w:rsidRPr="00481888" w14:paraId="2AA68870" w14:textId="77777777" w:rsidTr="00AE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8192FC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027" w:type="dxa"/>
          </w:tcPr>
          <w:p w14:paraId="54F08837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Kategori</w:t>
            </w:r>
            <w:proofErr w:type="spellEnd"/>
          </w:p>
        </w:tc>
      </w:tr>
      <w:tr w:rsidR="00481888" w:rsidRPr="00481888" w14:paraId="6CA7D204" w14:textId="77777777" w:rsidTr="00AE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CCFE16" w14:textId="7A6F3905" w:rsidR="0085069B" w:rsidRPr="00481888" w:rsidRDefault="009566BE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KB≥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+s</m:t>
                </m:r>
              </m:oMath>
            </m:oMathPara>
          </w:p>
        </w:tc>
        <w:tc>
          <w:tcPr>
            <w:tcW w:w="2027" w:type="dxa"/>
          </w:tcPr>
          <w:p w14:paraId="403C842F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</w:tr>
      <w:tr w:rsidR="00481888" w:rsidRPr="00481888" w14:paraId="28623555" w14:textId="77777777" w:rsidTr="00AE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30E693" w14:textId="449828EC" w:rsidR="0085069B" w:rsidRPr="00481888" w:rsidRDefault="00992427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-s&lt;KB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+s</m:t>
                </m:r>
              </m:oMath>
            </m:oMathPara>
          </w:p>
        </w:tc>
        <w:tc>
          <w:tcPr>
            <w:tcW w:w="2027" w:type="dxa"/>
          </w:tcPr>
          <w:p w14:paraId="580A90CF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 Sedang</w:t>
            </w:r>
          </w:p>
        </w:tc>
      </w:tr>
      <w:tr w:rsidR="00481888" w:rsidRPr="00481888" w14:paraId="272047D4" w14:textId="77777777" w:rsidTr="00AE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A4D971" w14:textId="6C477628" w:rsidR="0085069B" w:rsidRPr="00481888" w:rsidRDefault="00992427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-s≤KB</m:t>
                </m:r>
              </m:oMath>
            </m:oMathPara>
          </w:p>
        </w:tc>
        <w:tc>
          <w:tcPr>
            <w:tcW w:w="2027" w:type="dxa"/>
          </w:tcPr>
          <w:p w14:paraId="01369C8C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</w:tbl>
    <w:p w14:paraId="6118C498" w14:textId="3560F6A1" w:rsidR="00936EF3" w:rsidRPr="00481888" w:rsidRDefault="0085069B" w:rsidP="002818ED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481888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Pr="00481888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4818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iCs/>
          <w:sz w:val="24"/>
          <w:szCs w:val="24"/>
        </w:rPr>
        <w:t>Karunia</w:t>
      </w:r>
      <w:proofErr w:type="spellEnd"/>
      <w:r w:rsidRPr="00481888">
        <w:rPr>
          <w:rFonts w:ascii="Times New Roman" w:hAnsi="Times New Roman" w:cs="Times New Roman"/>
          <w:iCs/>
          <w:sz w:val="24"/>
          <w:szCs w:val="24"/>
        </w:rPr>
        <w:t xml:space="preserve"> Eka Lestari dan </w:t>
      </w:r>
      <w:proofErr w:type="spellStart"/>
      <w:r w:rsidRPr="00481888">
        <w:rPr>
          <w:rFonts w:ascii="Times New Roman" w:hAnsi="Times New Roman" w:cs="Times New Roman"/>
          <w:iCs/>
          <w:sz w:val="24"/>
          <w:szCs w:val="24"/>
        </w:rPr>
        <w:t>Mokhammad</w:t>
      </w:r>
      <w:proofErr w:type="spellEnd"/>
      <w:r w:rsidRPr="00481888">
        <w:rPr>
          <w:rFonts w:ascii="Times New Roman" w:hAnsi="Times New Roman" w:cs="Times New Roman"/>
          <w:iCs/>
          <w:sz w:val="24"/>
          <w:szCs w:val="24"/>
        </w:rPr>
        <w:t xml:space="preserve"> Ridwan </w:t>
      </w:r>
      <w:proofErr w:type="spellStart"/>
      <w:r w:rsidRPr="00481888">
        <w:rPr>
          <w:rFonts w:ascii="Times New Roman" w:hAnsi="Times New Roman" w:cs="Times New Roman"/>
          <w:iCs/>
          <w:sz w:val="24"/>
          <w:szCs w:val="24"/>
        </w:rPr>
        <w:t>Yudhanegara</w:t>
      </w:r>
      <w:proofErr w:type="spellEnd"/>
    </w:p>
    <w:p w14:paraId="1F26D8E8" w14:textId="77777777" w:rsidR="0085069B" w:rsidRPr="00481888" w:rsidRDefault="0085069B" w:rsidP="0085069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05C0959" w14:textId="77777777" w:rsidR="0085069B" w:rsidRPr="00481888" w:rsidRDefault="00992427" w:rsidP="0085069B">
      <w:pPr>
        <w:pStyle w:val="ListParagraph"/>
        <w:spacing w:after="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85069B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Rata-rata</w:t>
      </w:r>
    </w:p>
    <w:p w14:paraId="55DF5AFC" w14:textId="77777777" w:rsidR="0085069B" w:rsidRPr="00481888" w:rsidRDefault="0085069B" w:rsidP="0085069B">
      <w:pPr>
        <w:pStyle w:val="ListParagraph"/>
        <w:spacing w:after="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s=</m:t>
        </m:r>
      </m:oMath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Simpangan Baku</w:t>
      </w:r>
    </w:p>
    <w:p w14:paraId="74B247DA" w14:textId="77777777" w:rsidR="0085069B" w:rsidRPr="00481888" w:rsidRDefault="0085069B" w:rsidP="0085069B">
      <w:pPr>
        <w:pStyle w:val="ListParagraph"/>
        <w:spacing w:after="0" w:line="48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KB=</m:t>
        </m:r>
      </m:oMath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Kemandirian Belajar  </w:t>
      </w:r>
    </w:p>
    <w:p w14:paraId="767B77AB" w14:textId="4F2CE32D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pula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Ponoharjo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individua tau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Ponoharjo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pula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1993).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2013).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X BDP 2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i/>
          <w:iCs/>
          <w:sz w:val="24"/>
          <w:szCs w:val="24"/>
        </w:rPr>
        <w:t>korelasi</w:t>
      </w:r>
      <w:proofErr w:type="spellEnd"/>
      <w:r w:rsidRPr="00481888">
        <w:rPr>
          <w:rFonts w:ascii="Times New Roman" w:hAnsi="Times New Roman" w:cs="Times New Roman"/>
          <w:i/>
          <w:iCs/>
          <w:sz w:val="24"/>
          <w:szCs w:val="24"/>
        </w:rPr>
        <w:t xml:space="preserve"> product </w:t>
      </w:r>
      <w:proofErr w:type="spellStart"/>
      <w:r w:rsidRPr="00481888">
        <w:rPr>
          <w:rFonts w:ascii="Times New Roman" w:hAnsi="Times New Roman" w:cs="Times New Roman"/>
          <w:i/>
          <w:iCs/>
          <w:sz w:val="24"/>
          <w:szCs w:val="24"/>
        </w:rPr>
        <w:t>momen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r w:rsidRPr="00481888">
        <w:rPr>
          <w:rFonts w:ascii="Times New Roman" w:hAnsi="Times New Roman" w:cs="Times New Roman"/>
          <w:i/>
          <w:iCs/>
          <w:sz w:val="24"/>
          <w:szCs w:val="24"/>
        </w:rPr>
        <w:t xml:space="preserve">alpha </w:t>
      </w:r>
      <w:proofErr w:type="spellStart"/>
      <w:r w:rsidRPr="00481888">
        <w:rPr>
          <w:rFonts w:ascii="Times New Roman" w:hAnsi="Times New Roman" w:cs="Times New Roman"/>
          <w:i/>
          <w:iCs/>
          <w:sz w:val="24"/>
          <w:szCs w:val="24"/>
        </w:rPr>
        <w:t>cconbach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23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AD686" w14:textId="77777777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888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proses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menururt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Miles dan Huberman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9F4D92D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313C6EFC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767A9901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lastRenderedPageBreak/>
        <w:t>Menerapkan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584CA4F0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0F60627B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dan </w:t>
      </w:r>
    </w:p>
    <w:p w14:paraId="7FAED39C" w14:textId="77777777" w:rsidR="0085069B" w:rsidRPr="00481888" w:rsidRDefault="0085069B" w:rsidP="0085069B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.</w:t>
      </w:r>
    </w:p>
    <w:p w14:paraId="70F8FA16" w14:textId="77777777" w:rsidR="0085069B" w:rsidRPr="00481888" w:rsidRDefault="0085069B" w:rsidP="0085069B">
      <w:pPr>
        <w:spacing w:after="0" w:line="360" w:lineRule="auto"/>
        <w:ind w:left="20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81888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F05EC" w14:textId="0854AB0C" w:rsidR="0085069B" w:rsidRPr="00481888" w:rsidRDefault="00936EF3" w:rsidP="00850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5069B"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9B" w:rsidRPr="004818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5069B" w:rsidRPr="00481888">
        <w:rPr>
          <w:rFonts w:ascii="Times New Roman" w:hAnsi="Times New Roman" w:cs="Times New Roman"/>
          <w:sz w:val="24"/>
          <w:szCs w:val="24"/>
        </w:rPr>
        <w:t>:</w:t>
      </w:r>
    </w:p>
    <w:p w14:paraId="61B2DFD0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2641076E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27C6CAC6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105DD02B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7A07CAF9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,</w:t>
      </w:r>
    </w:p>
    <w:p w14:paraId="1802ABFE" w14:textId="77777777" w:rsidR="0085069B" w:rsidRPr="00481888" w:rsidRDefault="0085069B" w:rsidP="0085069B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.</w:t>
      </w:r>
    </w:p>
    <w:p w14:paraId="3FB8820E" w14:textId="77777777" w:rsidR="00481888" w:rsidRDefault="00481888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4451" w14:textId="77777777" w:rsidR="00481888" w:rsidRDefault="00481888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CFABA" w14:textId="246234B8" w:rsidR="0085069B" w:rsidRPr="00481888" w:rsidRDefault="0085069B" w:rsidP="008506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888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6B191E0C" w14:textId="77777777" w:rsidR="00936EF3" w:rsidRPr="00481888" w:rsidRDefault="0085069B" w:rsidP="00936E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88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X BDP 3 SMK Negeri 1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Dukuhturi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Telah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google form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tervalidasi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E1EB2A3" w14:textId="3DA2B3C3" w:rsidR="0085069B" w:rsidRPr="00481888" w:rsidRDefault="0085069B" w:rsidP="00936E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2. Hasil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60"/>
        <w:gridCol w:w="1056"/>
        <w:gridCol w:w="910"/>
      </w:tblGrid>
      <w:tr w:rsidR="00481888" w:rsidRPr="00481888" w14:paraId="6DCDAE9F" w14:textId="77777777" w:rsidTr="00850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AB7EA50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056" w:type="dxa"/>
          </w:tcPr>
          <w:p w14:paraId="4CA4C366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910" w:type="dxa"/>
          </w:tcPr>
          <w:p w14:paraId="67E8ECB4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Jumlah</w:t>
            </w:r>
            <w:proofErr w:type="spellEnd"/>
          </w:p>
        </w:tc>
      </w:tr>
      <w:tr w:rsidR="00481888" w:rsidRPr="00481888" w14:paraId="4E2DE45D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B105EC" w14:textId="3F54A63F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x≥77</m:t>
                </m:r>
              </m:oMath>
            </m:oMathPara>
          </w:p>
        </w:tc>
        <w:tc>
          <w:tcPr>
            <w:tcW w:w="1056" w:type="dxa"/>
          </w:tcPr>
          <w:p w14:paraId="503CE176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  <w:tc>
          <w:tcPr>
            <w:tcW w:w="910" w:type="dxa"/>
          </w:tcPr>
          <w:p w14:paraId="4AA24495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88" w:rsidRPr="00481888" w14:paraId="38CF7DFA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9EB4A0" w14:textId="244A93C4" w:rsidR="0085069B" w:rsidRPr="00481888" w:rsidRDefault="002818ED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64&lt;x&lt;77</m:t>
                </m:r>
              </m:oMath>
            </m:oMathPara>
          </w:p>
        </w:tc>
        <w:tc>
          <w:tcPr>
            <w:tcW w:w="1056" w:type="dxa"/>
          </w:tcPr>
          <w:p w14:paraId="50844D18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  <w:tc>
          <w:tcPr>
            <w:tcW w:w="910" w:type="dxa"/>
          </w:tcPr>
          <w:p w14:paraId="7E8E6BEE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1888" w:rsidRPr="00481888" w14:paraId="75B02B33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20A4AF" w14:textId="356D34BD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x≤64</m:t>
                </m:r>
              </m:oMath>
            </m:oMathPara>
          </w:p>
        </w:tc>
        <w:tc>
          <w:tcPr>
            <w:tcW w:w="1056" w:type="dxa"/>
          </w:tcPr>
          <w:p w14:paraId="7E5A7E46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910" w:type="dxa"/>
          </w:tcPr>
          <w:p w14:paraId="70AB462D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76314D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48188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</m:oMath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nilai angket kemandirian belajar.</w:t>
      </w:r>
    </w:p>
    <w:p w14:paraId="0B4E0E80" w14:textId="05FA6FE4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sz w:val="24"/>
          <w:szCs w:val="24"/>
        </w:rPr>
        <w:tab/>
        <w:t xml:space="preserve">Dari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menempati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masing-masing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diantaranya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6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kriteria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0DA4" w:rsidRPr="00481888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ebih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lastRenderedPageBreak/>
        <w:t>77</w:t>
      </w:r>
      <w:r w:rsidRPr="004818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sebanyak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25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kriteria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64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77,</w:t>
      </w: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terdiri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riteria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2818ED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64</w:t>
      </w: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X BDP 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termasuk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8EE878" w14:textId="77777777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888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Teknik </w:t>
      </w:r>
      <w:r w:rsidRPr="00481888"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6 orang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X BDP 3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median dan 2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rendang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>.</w:t>
      </w:r>
    </w:p>
    <w:p w14:paraId="21791542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3. Daftar Nama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PlainTable2"/>
        <w:tblW w:w="4204" w:type="dxa"/>
        <w:tblInd w:w="-142" w:type="dxa"/>
        <w:tblLook w:val="04A0" w:firstRow="1" w:lastRow="0" w:firstColumn="1" w:lastColumn="0" w:noHBand="0" w:noVBand="1"/>
      </w:tblPr>
      <w:tblGrid>
        <w:gridCol w:w="937"/>
        <w:gridCol w:w="1047"/>
        <w:gridCol w:w="1283"/>
        <w:gridCol w:w="937"/>
      </w:tblGrid>
      <w:tr w:rsidR="00481888" w:rsidRPr="00481888" w14:paraId="5D7822D6" w14:textId="77777777" w:rsidTr="00850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3D314F15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Nama </w:t>
            </w: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1047" w:type="dxa"/>
          </w:tcPr>
          <w:p w14:paraId="27B3A4C2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Kode Nama</w:t>
            </w:r>
          </w:p>
        </w:tc>
        <w:tc>
          <w:tcPr>
            <w:tcW w:w="1283" w:type="dxa"/>
          </w:tcPr>
          <w:p w14:paraId="31C46EEF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37" w:type="dxa"/>
          </w:tcPr>
          <w:p w14:paraId="57E0931A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Kode </w:t>
            </w:r>
            <w:proofErr w:type="spellStart"/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Subjek</w:t>
            </w:r>
            <w:proofErr w:type="spellEnd"/>
          </w:p>
        </w:tc>
      </w:tr>
      <w:tr w:rsidR="00481888" w:rsidRPr="00481888" w14:paraId="2DF2FCE4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4DD5623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NAPS </w:t>
            </w:r>
          </w:p>
        </w:tc>
        <w:tc>
          <w:tcPr>
            <w:tcW w:w="1047" w:type="dxa"/>
          </w:tcPr>
          <w:p w14:paraId="1A3E7A39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PN-22</w:t>
            </w:r>
          </w:p>
        </w:tc>
        <w:tc>
          <w:tcPr>
            <w:tcW w:w="1283" w:type="dxa"/>
          </w:tcPr>
          <w:p w14:paraId="69E399B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Tinggi </w:t>
            </w:r>
          </w:p>
        </w:tc>
        <w:tc>
          <w:tcPr>
            <w:tcW w:w="937" w:type="dxa"/>
          </w:tcPr>
          <w:p w14:paraId="5B8C3C5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T-1</w:t>
            </w:r>
          </w:p>
        </w:tc>
      </w:tr>
      <w:tr w:rsidR="00481888" w:rsidRPr="00481888" w14:paraId="1E632B5E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DDC8E45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DST</w:t>
            </w:r>
          </w:p>
        </w:tc>
        <w:tc>
          <w:tcPr>
            <w:tcW w:w="1047" w:type="dxa"/>
          </w:tcPr>
          <w:p w14:paraId="714AC5EE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PN-10</w:t>
            </w:r>
          </w:p>
        </w:tc>
        <w:tc>
          <w:tcPr>
            <w:tcW w:w="1283" w:type="dxa"/>
          </w:tcPr>
          <w:p w14:paraId="5C9825A2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Tinggi </w:t>
            </w:r>
          </w:p>
        </w:tc>
        <w:tc>
          <w:tcPr>
            <w:tcW w:w="937" w:type="dxa"/>
          </w:tcPr>
          <w:p w14:paraId="53E8A087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T-2</w:t>
            </w:r>
          </w:p>
        </w:tc>
      </w:tr>
      <w:tr w:rsidR="00481888" w:rsidRPr="00481888" w14:paraId="42EAB11D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D838432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AUA</w:t>
            </w:r>
          </w:p>
        </w:tc>
        <w:tc>
          <w:tcPr>
            <w:tcW w:w="1047" w:type="dxa"/>
          </w:tcPr>
          <w:p w14:paraId="19736435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PN-6</w:t>
            </w:r>
          </w:p>
        </w:tc>
        <w:tc>
          <w:tcPr>
            <w:tcW w:w="1283" w:type="dxa"/>
          </w:tcPr>
          <w:p w14:paraId="7AD80A4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</w:p>
        </w:tc>
        <w:tc>
          <w:tcPr>
            <w:tcW w:w="937" w:type="dxa"/>
          </w:tcPr>
          <w:p w14:paraId="4D0E9158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</w:tc>
      </w:tr>
      <w:tr w:rsidR="00481888" w:rsidRPr="00481888" w14:paraId="003D59C2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0997EB3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ZNA</w:t>
            </w:r>
          </w:p>
        </w:tc>
        <w:tc>
          <w:tcPr>
            <w:tcW w:w="1047" w:type="dxa"/>
          </w:tcPr>
          <w:p w14:paraId="5B9E78B6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PN-36</w:t>
            </w:r>
          </w:p>
        </w:tc>
        <w:tc>
          <w:tcPr>
            <w:tcW w:w="1283" w:type="dxa"/>
          </w:tcPr>
          <w:p w14:paraId="6989B63B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</w:p>
        </w:tc>
        <w:tc>
          <w:tcPr>
            <w:tcW w:w="937" w:type="dxa"/>
          </w:tcPr>
          <w:p w14:paraId="6320E6A6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</w:tc>
      </w:tr>
      <w:tr w:rsidR="00481888" w:rsidRPr="00481888" w14:paraId="2FE7C16E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4CA906B9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FNQ</w:t>
            </w:r>
          </w:p>
        </w:tc>
        <w:tc>
          <w:tcPr>
            <w:tcW w:w="1047" w:type="dxa"/>
          </w:tcPr>
          <w:p w14:paraId="0B73B73C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PN-13</w:t>
            </w:r>
          </w:p>
        </w:tc>
        <w:tc>
          <w:tcPr>
            <w:tcW w:w="1283" w:type="dxa"/>
          </w:tcPr>
          <w:p w14:paraId="71493A5B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2150B2CA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</w:tr>
      <w:tr w:rsidR="00481888" w:rsidRPr="00481888" w14:paraId="42E9EC81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8F46ED4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NDL</w:t>
            </w:r>
          </w:p>
        </w:tc>
        <w:tc>
          <w:tcPr>
            <w:tcW w:w="1047" w:type="dxa"/>
          </w:tcPr>
          <w:p w14:paraId="044C9B01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PN-17</w:t>
            </w:r>
          </w:p>
        </w:tc>
        <w:tc>
          <w:tcPr>
            <w:tcW w:w="1283" w:type="dxa"/>
          </w:tcPr>
          <w:p w14:paraId="09E31CA1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68CE06DB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R-2</w:t>
            </w:r>
          </w:p>
        </w:tc>
      </w:tr>
    </w:tbl>
    <w:p w14:paraId="2322EEC0" w14:textId="53BB35B2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Setelah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mendapatkan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diberikan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berupa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uraian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disesuaikan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>es</w:t>
      </w:r>
      <w:proofErr w:type="spellEnd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="003C4025"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036354" w14:textId="4C14CB9B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Dari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24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8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X BDP 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dikarenakan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066927" w14:textId="40454D38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Pembahasan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(T-1)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lima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ke-1,2,4,5,6,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lastRenderedPageBreak/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(T-2)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diantaranya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ke-3,4,5,6.  Hal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berbeda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Isra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Hidayati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(2020)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mengatakan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T-1 dan T-2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eastAsiaTheme="minorEastAsia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yang</w:t>
      </w:r>
      <w:proofErr w:type="gram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ditanyakan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tetapi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subdjek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T-2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menuliskan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T-1 dan T-2 juga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meyelesaikan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permasalahan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penyelesaian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diajarkan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oleh guru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contoh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permaslahan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sehari-hari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(S-1)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tiga</w:t>
      </w:r>
      <w:proofErr w:type="spellEnd"/>
      <w:proofErr w:type="gram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ke-4,5,6.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(S-2)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diantaranya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ke-1,2,5,6.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Berbeda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Isra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Hidayati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(2020)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Dari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kutipan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S-1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S-2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ditanyakan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tetapi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spesifik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Masing-masing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kesulitan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proses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penyelesaian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nomor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bisa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mengkaitkan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lain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bisa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mengaplikasikan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salah</w:t>
      </w:r>
      <w:proofErr w:type="gram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sehari-hari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(R-1)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ke-4 (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mampu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ekuivalen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(R-2)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ke-5 dan 6. Dari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wawancara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R-1 dan R-2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menuliskan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informasi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serta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kesulitan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terlihat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jelas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lembar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R-1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mengatakan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lastRenderedPageBreak/>
        <w:t>tersebut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terkait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lain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tetapu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mereka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menyebutkan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contoh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seharo-hari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Pengetahuan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berbeda-beda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namun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rata-rata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matriks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55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sesuai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KKM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Sekolah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FCDCA1" w14:textId="256727E4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2F5D" w:rsidRPr="00481888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Hasil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</w:p>
    <w:tbl>
      <w:tblPr>
        <w:tblStyle w:val="PlainTable2"/>
        <w:tblW w:w="3544" w:type="dxa"/>
        <w:tblLook w:val="04A0" w:firstRow="1" w:lastRow="0" w:firstColumn="1" w:lastColumn="0" w:noHBand="0" w:noVBand="1"/>
      </w:tblPr>
      <w:tblGrid>
        <w:gridCol w:w="937"/>
        <w:gridCol w:w="481"/>
        <w:gridCol w:w="425"/>
        <w:gridCol w:w="426"/>
        <w:gridCol w:w="425"/>
        <w:gridCol w:w="425"/>
        <w:gridCol w:w="425"/>
      </w:tblGrid>
      <w:tr w:rsidR="00481888" w:rsidRPr="00481888" w14:paraId="37187DD9" w14:textId="77777777" w:rsidTr="00850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</w:tcPr>
          <w:p w14:paraId="1DA8CFB4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 xml:space="preserve">Kode </w:t>
            </w: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2607" w:type="dxa"/>
            <w:gridSpan w:val="6"/>
          </w:tcPr>
          <w:p w14:paraId="7034DD3E" w14:textId="77777777" w:rsidR="0085069B" w:rsidRPr="00481888" w:rsidRDefault="0085069B" w:rsidP="00AE024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</w:tr>
      <w:tr w:rsidR="00481888" w:rsidRPr="00481888" w14:paraId="33E83A39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14:paraId="41A0BE15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4EA8F3B6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29A5CEA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6EB680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001D6E4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19DAB36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8BE3445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88" w:rsidRPr="00481888" w14:paraId="71125E92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F0E599F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T-1</w:t>
            </w:r>
          </w:p>
        </w:tc>
        <w:tc>
          <w:tcPr>
            <w:tcW w:w="481" w:type="dxa"/>
            <w:shd w:val="clear" w:color="auto" w:fill="2E74B5" w:themeFill="accent5" w:themeFillShade="BF"/>
          </w:tcPr>
          <w:p w14:paraId="14911C74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1DFD5301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14:paraId="1A65FE12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55D0AE90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41C5A2BA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5600A04C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88" w:rsidRPr="00481888" w14:paraId="5F3E2493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8C2F482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T-2</w:t>
            </w:r>
          </w:p>
        </w:tc>
        <w:tc>
          <w:tcPr>
            <w:tcW w:w="481" w:type="dxa"/>
            <w:shd w:val="clear" w:color="auto" w:fill="3B3838" w:themeFill="background2" w:themeFillShade="40"/>
          </w:tcPr>
          <w:p w14:paraId="1A2B079B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7FCF79C1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2E74B5" w:themeFill="accent5" w:themeFillShade="BF"/>
          </w:tcPr>
          <w:p w14:paraId="557EE70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00712859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10259209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0C60237D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88" w:rsidRPr="00481888" w14:paraId="0033CACE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E0DF966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481" w:type="dxa"/>
            <w:shd w:val="clear" w:color="auto" w:fill="3B3838" w:themeFill="background2" w:themeFillShade="40"/>
          </w:tcPr>
          <w:p w14:paraId="2925A60F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2460456C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14:paraId="1C540E03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5FAA5165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24017466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66DB2553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88" w:rsidRPr="00481888" w14:paraId="4200A3D2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DF7F8A8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481" w:type="dxa"/>
            <w:shd w:val="clear" w:color="auto" w:fill="2E74B5" w:themeFill="accent5" w:themeFillShade="BF"/>
          </w:tcPr>
          <w:p w14:paraId="0D0B2B3D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00867BBC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14:paraId="42459418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024F2A6D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321B3E09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5A27C014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88" w:rsidRPr="00481888" w14:paraId="13820ADE" w14:textId="77777777" w:rsidTr="00850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2D997FFD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  <w:tc>
          <w:tcPr>
            <w:tcW w:w="481" w:type="dxa"/>
            <w:shd w:val="clear" w:color="auto" w:fill="3B3838" w:themeFill="background2" w:themeFillShade="40"/>
          </w:tcPr>
          <w:p w14:paraId="74CFD86F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64AF1E1F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14:paraId="2D237895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44D5C67E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582CABDC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44C9F9D4" w14:textId="77777777" w:rsidR="0085069B" w:rsidRPr="00481888" w:rsidRDefault="0085069B" w:rsidP="00AE024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88" w:rsidRPr="00481888" w14:paraId="3C979453" w14:textId="77777777" w:rsidTr="00850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7EE799BF" w14:textId="77777777" w:rsidR="0085069B" w:rsidRPr="00481888" w:rsidRDefault="0085069B" w:rsidP="00AE02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88">
              <w:rPr>
                <w:rFonts w:ascii="Times New Roman" w:hAnsi="Times New Roman" w:cs="Times New Roman"/>
                <w:sz w:val="24"/>
                <w:szCs w:val="24"/>
              </w:rPr>
              <w:t>R-2</w:t>
            </w:r>
          </w:p>
        </w:tc>
        <w:tc>
          <w:tcPr>
            <w:tcW w:w="481" w:type="dxa"/>
            <w:shd w:val="clear" w:color="auto" w:fill="3B3838" w:themeFill="background2" w:themeFillShade="40"/>
          </w:tcPr>
          <w:p w14:paraId="16022FF2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6CF61E9E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14:paraId="39018D15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</w:tcPr>
          <w:p w14:paraId="0B8E37DF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6A02264C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2E74B5" w:themeFill="accent5" w:themeFillShade="BF"/>
          </w:tcPr>
          <w:p w14:paraId="6F842BF7" w14:textId="77777777" w:rsidR="0085069B" w:rsidRPr="00481888" w:rsidRDefault="0085069B" w:rsidP="00AE024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1F5B8" w14:textId="5482D095" w:rsidR="0085069B" w:rsidRPr="00481888" w:rsidRDefault="0085069B" w:rsidP="0085069B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diatas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masing-masing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kolom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hitam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biru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Jika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warna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hitam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tiap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Misalkan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subjek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(T-1)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ke-1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berwana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biru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dikarenkan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ke-1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semua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ke-1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berwarna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hitam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salah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ke-3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ke-3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pembahasan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ditinjau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enam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 Hal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berbeda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Isra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Hidayati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(2020)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keamndirian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randah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juga,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lastRenderedPageBreak/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lain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DC44DA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SIMPULAN </w:t>
      </w:r>
    </w:p>
    <w:p w14:paraId="784A0ABA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Setelah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pembahasan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data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kualitatif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didapatkan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disimpulkan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14:paraId="4B8A6FDD" w14:textId="3C82BDC9" w:rsidR="0085069B" w:rsidRPr="00481888" w:rsidRDefault="0085069B" w:rsidP="0085069B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X BDP 3 SMK negeri 1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dukuhturi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6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peserta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didi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25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5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X BDP 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F25983" w14:textId="3F1BA037" w:rsidR="0085069B" w:rsidRPr="00481888" w:rsidRDefault="0085069B" w:rsidP="0085069B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X BDP 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didapatkan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24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peserta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didi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8 </w:t>
      </w:r>
      <w:proofErr w:type="spellStart"/>
      <w:r w:rsidR="00936EF3" w:rsidRPr="00481888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keseluruhan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matriks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Sebagian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menyelesaikan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baik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60C378" w14:textId="68C6A3D7" w:rsidR="0085069B" w:rsidRPr="00481888" w:rsidRDefault="0085069B" w:rsidP="0085069B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ditinjau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terbagi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mendi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: (a)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sekitar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enam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(b)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terpenuhi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sekitar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tiga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empat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</w:t>
      </w:r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(c)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kemandirian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sekitar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sampai</w:t>
      </w:r>
      <w:proofErr w:type="spellEnd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D13A6" w:rsidRPr="00481888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. Dimana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indikator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koneksi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mencari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memahami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antar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bidang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lain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lastRenderedPageBreak/>
        <w:t>atau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kehidupan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sehari-</w:t>
      </w:r>
      <w:proofErr w:type="gramStart"/>
      <w:r w:rsidRPr="00481888">
        <w:rPr>
          <w:rFonts w:ascii="Times New Roman" w:eastAsiaTheme="minorEastAsia" w:hAnsi="Times New Roman" w:cs="Times New Roman"/>
          <w:sz w:val="24"/>
          <w:szCs w:val="24"/>
        </w:rPr>
        <w:t>hari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memahami</w:t>
      </w:r>
      <w:proofErr w:type="spellEnd"/>
      <w:proofErr w:type="gram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ekuivalen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suatu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konsep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menecari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prosedur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lainnya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representasi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ekuivale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menerapkan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antat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topik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luar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81888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481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379402" w14:textId="77777777" w:rsidR="0085069B" w:rsidRPr="00481888" w:rsidRDefault="0085069B" w:rsidP="0085069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1888">
        <w:rPr>
          <w:rFonts w:ascii="Times New Roman" w:eastAsiaTheme="minorEastAsia" w:hAnsi="Times New Roman" w:cs="Times New Roman"/>
          <w:b/>
          <w:bCs/>
          <w:sz w:val="24"/>
          <w:szCs w:val="24"/>
        </w:rPr>
        <w:t>DAFTAR PUSTAKA</w:t>
      </w:r>
    </w:p>
    <w:p w14:paraId="0235DA29" w14:textId="287E5047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Arikunto. (2013).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Jakarta: PT. Rineka Cipta.</w:t>
      </w:r>
    </w:p>
    <w:p w14:paraId="66FF0AAB" w14:textId="64AE895B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Hidayati, I. (2020). Analisis Kemampuan Koneksi Matematis Ditinjau dari Kemandirian Belajar </w:t>
      </w:r>
      <w:r w:rsidR="00936EF3" w:rsidRPr="00481888">
        <w:rPr>
          <w:rFonts w:ascii="Times New Roman" w:hAnsi="Times New Roman" w:cs="Times New Roman"/>
          <w:noProof/>
          <w:sz w:val="24"/>
          <w:szCs w:val="24"/>
        </w:rPr>
        <w:t>Siswa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SMP Negeri 01 Kampar Pada Materi Sistem Persamaan Linear Sua Variabel. 221.</w:t>
      </w:r>
    </w:p>
    <w:p w14:paraId="267A28FA" w14:textId="77777777" w:rsidR="00017A2B" w:rsidRPr="00481888" w:rsidRDefault="0085069B" w:rsidP="00017A2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Lestari, K. E., &amp; Yudhanegara, M. R. (2018).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Penelitian Pendidikan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Matematika.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Bandung: Refika Adhitama.</w:t>
      </w:r>
      <w:r w:rsidR="00017A2B" w:rsidRPr="0048188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492FAB" w14:textId="3782BD3D" w:rsidR="0085069B" w:rsidRPr="00481888" w:rsidRDefault="00017A2B" w:rsidP="00017A2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Miles, M. B., Huberman, A., &amp; Saldana, J. (2014).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Qualitative Data Analysis </w:t>
      </w:r>
      <w:r w:rsidRPr="00481888">
        <w:rPr>
          <w:rFonts w:ascii="Times New Roman" w:hAnsi="Times New Roman" w:cs="Times New Roman"/>
          <w:noProof/>
          <w:sz w:val="24"/>
          <w:szCs w:val="24"/>
        </w:rPr>
        <w:t>(3 ed.). USA: Sage Publicayions.</w:t>
      </w:r>
    </w:p>
    <w:p w14:paraId="4FB69307" w14:textId="77777777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NCTM. (2000).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Principles And Standart School Mathematics.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Reston: VA.</w:t>
      </w:r>
    </w:p>
    <w:p w14:paraId="2A336091" w14:textId="77777777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Ponoharjo. (2017).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Matematika.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Tegal: Universitas Pancasakti Tegal. </w:t>
      </w:r>
    </w:p>
    <w:p w14:paraId="100C592B" w14:textId="77777777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Rukajat, A. (2018).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Penelitian Kualitatif.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Yogyakarta: CV Budi Utama.</w:t>
      </w:r>
    </w:p>
    <w:p w14:paraId="4E2A1B61" w14:textId="4776EDA3" w:rsidR="0085069B" w:rsidRPr="00481888" w:rsidRDefault="0085069B" w:rsidP="0085069B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Rusman. (2016). </w:t>
      </w:r>
      <w:r w:rsidRPr="00481888">
        <w:rPr>
          <w:rFonts w:ascii="Times New Roman" w:hAnsi="Times New Roman" w:cs="Times New Roman"/>
          <w:i/>
          <w:iCs/>
          <w:noProof/>
          <w:sz w:val="24"/>
          <w:szCs w:val="24"/>
        </w:rPr>
        <w:t>Model-model Pembelajaran (edisi kedua).</w:t>
      </w:r>
      <w:r w:rsidRPr="00481888">
        <w:rPr>
          <w:rFonts w:ascii="Times New Roman" w:hAnsi="Times New Roman" w:cs="Times New Roman"/>
          <w:noProof/>
          <w:sz w:val="24"/>
          <w:szCs w:val="24"/>
        </w:rPr>
        <w:t xml:space="preserve"> Jakarta: PT Rajagafindo Persada.</w:t>
      </w:r>
      <w:r w:rsidR="00EE5FB0" w:rsidRPr="0048188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E875036" w14:textId="77777777" w:rsidR="00EE5FB0" w:rsidRPr="00481888" w:rsidRDefault="00EE5FB0" w:rsidP="00EE5FB0">
      <w:pPr>
        <w:sectPr w:rsidR="00EE5FB0" w:rsidRPr="00481888" w:rsidSect="0085069B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20430DD8" w14:textId="3F03E1EB" w:rsidR="00EE5FB0" w:rsidRPr="00481888" w:rsidRDefault="00EE5FB0" w:rsidP="00EE5FB0"/>
    <w:sectPr w:rsidR="00EE5FB0" w:rsidRPr="00481888" w:rsidSect="00EE5FB0">
      <w:type w:val="continuous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46E4D"/>
    <w:multiLevelType w:val="hybridMultilevel"/>
    <w:tmpl w:val="1F0C95AA"/>
    <w:lvl w:ilvl="0" w:tplc="45B81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A3A59"/>
    <w:multiLevelType w:val="hybridMultilevel"/>
    <w:tmpl w:val="0CFC834E"/>
    <w:lvl w:ilvl="0" w:tplc="8180B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4A7373"/>
    <w:multiLevelType w:val="hybridMultilevel"/>
    <w:tmpl w:val="B352C354"/>
    <w:lvl w:ilvl="0" w:tplc="BD923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9B"/>
    <w:rsid w:val="00017A2B"/>
    <w:rsid w:val="0003235C"/>
    <w:rsid w:val="00056F8F"/>
    <w:rsid w:val="000730F4"/>
    <w:rsid w:val="001954B1"/>
    <w:rsid w:val="001D13A6"/>
    <w:rsid w:val="002818ED"/>
    <w:rsid w:val="002E5EFE"/>
    <w:rsid w:val="003B2D37"/>
    <w:rsid w:val="003B53E0"/>
    <w:rsid w:val="003C4025"/>
    <w:rsid w:val="00445723"/>
    <w:rsid w:val="00475697"/>
    <w:rsid w:val="00481888"/>
    <w:rsid w:val="005A63F9"/>
    <w:rsid w:val="005C2D20"/>
    <w:rsid w:val="00675BC2"/>
    <w:rsid w:val="00761BB7"/>
    <w:rsid w:val="0085069B"/>
    <w:rsid w:val="008E297B"/>
    <w:rsid w:val="00936EF3"/>
    <w:rsid w:val="00951CD5"/>
    <w:rsid w:val="009566BE"/>
    <w:rsid w:val="00992427"/>
    <w:rsid w:val="009E5E9D"/>
    <w:rsid w:val="00AB071F"/>
    <w:rsid w:val="00B6726C"/>
    <w:rsid w:val="00B82F5D"/>
    <w:rsid w:val="00CF6510"/>
    <w:rsid w:val="00D15F72"/>
    <w:rsid w:val="00D77BC0"/>
    <w:rsid w:val="00E32578"/>
    <w:rsid w:val="00E44916"/>
    <w:rsid w:val="00E53DEE"/>
    <w:rsid w:val="00ED0DA4"/>
    <w:rsid w:val="00EE5FB0"/>
    <w:rsid w:val="00F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387A"/>
  <w15:chartTrackingRefBased/>
  <w15:docId w15:val="{8D92445A-7D7C-4565-B30A-E7385B0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69B"/>
    <w:rPr>
      <w:color w:val="0563C1" w:themeColor="hyperlink"/>
      <w:u w:val="single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1"/>
    <w:qFormat/>
    <w:rsid w:val="0085069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basedOn w:val="DefaultParagraphFont"/>
    <w:link w:val="ListParagraph"/>
    <w:uiPriority w:val="1"/>
    <w:rsid w:val="0085069B"/>
  </w:style>
  <w:style w:type="table" w:styleId="PlainTable2">
    <w:name w:val="Plain Table 2"/>
    <w:basedOn w:val="TableNormal"/>
    <w:uiPriority w:val="42"/>
    <w:rsid w:val="008506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85069B"/>
  </w:style>
  <w:style w:type="character" w:styleId="CommentReference">
    <w:name w:val="annotation reference"/>
    <w:basedOn w:val="DefaultParagraphFont"/>
    <w:uiPriority w:val="99"/>
    <w:semiHidden/>
    <w:unhideWhenUsed/>
    <w:rsid w:val="00761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qituga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uhparidj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unifai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ACEE-26CF-467D-ABE5-72CBD52A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2021-08-27T07:03:00Z</dcterms:created>
  <dcterms:modified xsi:type="dcterms:W3CDTF">2021-08-27T07:43:00Z</dcterms:modified>
</cp:coreProperties>
</file>