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74E29" w14:textId="4AB0EA59" w:rsidR="005707DB" w:rsidRPr="00765D1B" w:rsidRDefault="00765D1B" w:rsidP="00765D1B">
      <w:pPr>
        <w:jc w:val="center"/>
        <w:rPr>
          <w:rFonts w:ascii="Times New Roman" w:hAnsi="Times New Roman" w:cs="Times New Roman"/>
          <w:b/>
          <w:sz w:val="26"/>
          <w:szCs w:val="26"/>
          <w:lang w:val="en-US"/>
        </w:rPr>
      </w:pPr>
      <w:r w:rsidRPr="00995FA0">
        <w:rPr>
          <w:rFonts w:ascii="Times New Roman" w:hAnsi="Times New Roman" w:cs="Times New Roman"/>
          <w:b/>
          <w:sz w:val="26"/>
          <w:szCs w:val="26"/>
        </w:rPr>
        <w:t>PENGEMBANGAN BAHAN AJAR MATERI FAKTOR KELIPATAN</w:t>
      </w:r>
      <w:bookmarkStart w:id="0" w:name="_GoBack"/>
      <w:bookmarkEnd w:id="0"/>
      <w:r w:rsidRPr="00995FA0">
        <w:rPr>
          <w:rFonts w:ascii="Times New Roman" w:hAnsi="Times New Roman" w:cs="Times New Roman"/>
          <w:b/>
          <w:sz w:val="26"/>
          <w:szCs w:val="26"/>
        </w:rPr>
        <w:t xml:space="preserve"> BILANGAN BERBASIS PENDEKATAN </w:t>
      </w:r>
      <w:r w:rsidRPr="00995FA0">
        <w:rPr>
          <w:rFonts w:ascii="Times New Roman" w:hAnsi="Times New Roman" w:cs="Times New Roman"/>
          <w:b/>
          <w:i/>
          <w:sz w:val="26"/>
          <w:szCs w:val="26"/>
        </w:rPr>
        <w:t>OPEN ENDED</w:t>
      </w:r>
      <w:r w:rsidRPr="00995FA0">
        <w:rPr>
          <w:rFonts w:ascii="Times New Roman" w:hAnsi="Times New Roman" w:cs="Times New Roman"/>
          <w:b/>
          <w:sz w:val="26"/>
          <w:szCs w:val="26"/>
        </w:rPr>
        <w:t xml:space="preserve"> UNTUK MENINGKATKAN PENALARAN SISWA SD DI  KOTA SEMARANG.</w:t>
      </w:r>
    </w:p>
    <w:p w14:paraId="766E619E" w14:textId="77777777" w:rsidR="005707DB" w:rsidRDefault="005707DB">
      <w:pPr>
        <w:spacing w:after="0" w:line="240" w:lineRule="auto"/>
        <w:rPr>
          <w:rFonts w:ascii="Times New Roman" w:eastAsia="Times New Roman" w:hAnsi="Times New Roman" w:cs="Times New Roman"/>
        </w:rPr>
      </w:pPr>
    </w:p>
    <w:p w14:paraId="03A3EBBB" w14:textId="219CA13F" w:rsidR="005707DB" w:rsidRPr="00765D1B" w:rsidRDefault="00765D1B">
      <w:pPr>
        <w:pBdr>
          <w:top w:val="nil"/>
          <w:left w:val="nil"/>
          <w:bottom w:val="nil"/>
          <w:right w:val="nil"/>
          <w:between w:val="nil"/>
        </w:pBdr>
        <w:spacing w:after="6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color w:val="000000"/>
          <w:lang w:val="en-US"/>
        </w:rPr>
        <w:t>Laela Farchatunnisa</w:t>
      </w:r>
      <w:r w:rsidR="005620F0">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 xml:space="preserve">Dr. Joko Sulianto, </w:t>
      </w:r>
      <w:proofErr w:type="gramStart"/>
      <w:r>
        <w:rPr>
          <w:rFonts w:ascii="Times New Roman" w:eastAsia="Times New Roman" w:hAnsi="Times New Roman" w:cs="Times New Roman"/>
          <w:b/>
          <w:color w:val="000000"/>
          <w:lang w:val="en-US"/>
        </w:rPr>
        <w:t>S.Pd.,</w:t>
      </w:r>
      <w:proofErr w:type="gramEnd"/>
      <w:r>
        <w:rPr>
          <w:rFonts w:ascii="Times New Roman" w:eastAsia="Times New Roman" w:hAnsi="Times New Roman" w:cs="Times New Roman"/>
          <w:b/>
          <w:color w:val="000000"/>
          <w:lang w:val="en-US"/>
        </w:rPr>
        <w:t xml:space="preserve"> M.Pd.</w:t>
      </w:r>
      <w:r w:rsidR="005620F0">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lang w:val="en-US"/>
        </w:rPr>
        <w:t>, Singgih Adhi P, S.Sn., M.Pd.</w:t>
      </w:r>
      <w:r>
        <w:rPr>
          <w:rFonts w:ascii="Times New Roman" w:eastAsia="Times New Roman" w:hAnsi="Times New Roman" w:cs="Times New Roman"/>
          <w:b/>
          <w:color w:val="000000"/>
          <w:vertAlign w:val="superscript"/>
          <w:lang w:val="en-US"/>
        </w:rPr>
        <w:t>3)</w:t>
      </w:r>
    </w:p>
    <w:p w14:paraId="429705D4" w14:textId="58C3A782" w:rsidR="005707DB" w:rsidRPr="00765D1B" w:rsidRDefault="00765D1B">
      <w:pPr>
        <w:jc w:val="center"/>
        <w:rPr>
          <w:rFonts w:ascii="Times New Roman" w:eastAsia="Times New Roman" w:hAnsi="Times New Roman" w:cs="Times New Roman"/>
          <w:b/>
          <w:highlight w:val="yellow"/>
          <w:lang w:val="en-US"/>
        </w:rPr>
      </w:pPr>
      <w:r>
        <w:rPr>
          <w:rFonts w:ascii="Times New Roman" w:eastAsia="Times New Roman" w:hAnsi="Times New Roman" w:cs="Times New Roman"/>
          <w:b/>
          <w:highlight w:val="yellow"/>
          <w:lang w:val="en-US"/>
        </w:rPr>
        <w:t>Universitas PGRI Semarang</w:t>
      </w:r>
    </w:p>
    <w:p w14:paraId="36C765E4" w14:textId="11AC2E74" w:rsidR="005707DB" w:rsidRPr="002347D9" w:rsidRDefault="005620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002347D9">
        <w:rPr>
          <w:rFonts w:ascii="Times New Roman" w:eastAsia="Times New Roman" w:hAnsi="Times New Roman" w:cs="Times New Roman"/>
          <w:lang w:val="en-US"/>
        </w:rPr>
        <w:t>Universitas PGRI Semarang</w:t>
      </w:r>
    </w:p>
    <w:p w14:paraId="1A9CA76F" w14:textId="74E61FDE" w:rsidR="005707DB" w:rsidRDefault="005620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002347D9">
        <w:rPr>
          <w:rFonts w:ascii="Times New Roman" w:eastAsia="Times New Roman" w:hAnsi="Times New Roman" w:cs="Times New Roman"/>
          <w:lang w:val="en-US"/>
        </w:rPr>
        <w:t>Universitas PGRI Semarang</w:t>
      </w:r>
    </w:p>
    <w:p w14:paraId="255282A4" w14:textId="54CEC84B" w:rsidR="002347D9" w:rsidRPr="002347D9" w:rsidRDefault="002347D9">
      <w:pPr>
        <w:spacing w:after="0" w:line="240" w:lineRule="auto"/>
        <w:jc w:val="center"/>
        <w:rPr>
          <w:rFonts w:ascii="Times New Roman" w:eastAsia="Times New Roman" w:hAnsi="Times New Roman" w:cs="Times New Roman"/>
          <w:vertAlign w:val="superscript"/>
          <w:lang w:val="en-US"/>
        </w:rPr>
      </w:pPr>
      <w:r>
        <w:rPr>
          <w:rFonts w:ascii="Times New Roman" w:eastAsia="Times New Roman" w:hAnsi="Times New Roman" w:cs="Times New Roman"/>
          <w:vertAlign w:val="superscript"/>
          <w:lang w:val="en-US"/>
        </w:rPr>
        <w:t xml:space="preserve">3 </w:t>
      </w:r>
      <w:r>
        <w:rPr>
          <w:rFonts w:ascii="Times New Roman" w:eastAsia="Times New Roman" w:hAnsi="Times New Roman" w:cs="Times New Roman"/>
          <w:lang w:val="en-US"/>
        </w:rPr>
        <w:t>Universitas PGRI Semarang</w:t>
      </w:r>
    </w:p>
    <w:p w14:paraId="3B617857" w14:textId="77777777" w:rsidR="002347D9" w:rsidRDefault="002347D9" w:rsidP="002347D9">
      <w:pPr>
        <w:spacing w:after="0" w:line="240" w:lineRule="auto"/>
        <w:rPr>
          <w:rFonts w:ascii="Times New Roman" w:eastAsia="Times New Roman" w:hAnsi="Times New Roman" w:cs="Times New Roman"/>
        </w:rPr>
      </w:pPr>
    </w:p>
    <w:p w14:paraId="06D00B5E"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650D7E8" w14:textId="77777777" w:rsidR="005707DB" w:rsidRDefault="005620F0">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Abstrak</w:t>
      </w:r>
    </w:p>
    <w:p w14:paraId="1BE6B832" w14:textId="5C5579C0" w:rsidR="002347D9" w:rsidRPr="002347D9" w:rsidRDefault="002347D9" w:rsidP="002347D9">
      <w:pPr>
        <w:spacing w:after="0"/>
        <w:ind w:right="-19"/>
        <w:jc w:val="both"/>
        <w:rPr>
          <w:rFonts w:ascii="Times New Roman" w:hAnsi="Times New Roman" w:cs="Times New Roman"/>
          <w:sz w:val="20"/>
          <w:szCs w:val="20"/>
          <w:lang w:val="en-US"/>
        </w:rPr>
      </w:pPr>
      <w:proofErr w:type="gramStart"/>
      <w:r w:rsidRPr="002347D9">
        <w:rPr>
          <w:rFonts w:ascii="Times New Roman" w:hAnsi="Times New Roman" w:cs="Times New Roman"/>
          <w:sz w:val="20"/>
          <w:szCs w:val="20"/>
          <w:lang w:val="en-US"/>
        </w:rPr>
        <w:t xml:space="preserve">Latar belakang yang mendorong penelitian dan pengembangan ini adalah kurangnya bahan ajar dalam pembelajaran tematik kurikulum 2013 di sekolah dasar terutama yang berkaitan dengan bahan ajar materi faktor kelipatan bilangan yang dapat meningkatkan penalaran siswa berbasis </w:t>
      </w:r>
      <w:r w:rsidRPr="002347D9">
        <w:rPr>
          <w:rFonts w:ascii="Times New Roman" w:hAnsi="Times New Roman" w:cs="Times New Roman"/>
          <w:i/>
          <w:sz w:val="20"/>
          <w:szCs w:val="20"/>
          <w:lang w:val="en-US"/>
        </w:rPr>
        <w:t>open-ended</w:t>
      </w:r>
      <w:r w:rsidRPr="002347D9">
        <w:rPr>
          <w:rFonts w:ascii="Times New Roman" w:hAnsi="Times New Roman" w:cs="Times New Roman"/>
          <w:sz w:val="20"/>
          <w:szCs w:val="20"/>
          <w:lang w:val="en-US"/>
        </w:rPr>
        <w:t>.</w:t>
      </w:r>
      <w:proofErr w:type="gramEnd"/>
      <w:r w:rsidRPr="002347D9">
        <w:rPr>
          <w:rFonts w:ascii="Times New Roman" w:hAnsi="Times New Roman" w:cs="Times New Roman"/>
          <w:sz w:val="20"/>
          <w:szCs w:val="20"/>
          <w:lang w:val="en-US"/>
        </w:rPr>
        <w:t xml:space="preserve"> </w:t>
      </w:r>
      <w:proofErr w:type="gramStart"/>
      <w:r w:rsidRPr="002347D9">
        <w:rPr>
          <w:rFonts w:ascii="Times New Roman" w:hAnsi="Times New Roman" w:cs="Times New Roman"/>
          <w:sz w:val="20"/>
          <w:szCs w:val="20"/>
          <w:lang w:val="en-US"/>
        </w:rPr>
        <w:t xml:space="preserve">Adapun tujuan penelitian yang hendak dicapai dalam penelitian ini adalah untuk mengetahui ketersediaan dan kelayakan bahan ajar berbasis pendekatan </w:t>
      </w:r>
      <w:r w:rsidRPr="002347D9">
        <w:rPr>
          <w:rFonts w:ascii="Times New Roman" w:hAnsi="Times New Roman" w:cs="Times New Roman"/>
          <w:i/>
          <w:sz w:val="20"/>
          <w:szCs w:val="20"/>
          <w:lang w:val="en-US"/>
        </w:rPr>
        <w:t>open-ended</w:t>
      </w:r>
      <w:r w:rsidRPr="002347D9">
        <w:rPr>
          <w:rFonts w:ascii="Times New Roman" w:hAnsi="Times New Roman" w:cs="Times New Roman"/>
          <w:sz w:val="20"/>
          <w:szCs w:val="20"/>
          <w:lang w:val="en-US"/>
        </w:rPr>
        <w:t xml:space="preserve"> untuk meningkatkan penalaran siswa.</w:t>
      </w:r>
      <w:proofErr w:type="gramEnd"/>
      <w:r w:rsidRPr="002347D9">
        <w:rPr>
          <w:rFonts w:ascii="Times New Roman" w:hAnsi="Times New Roman" w:cs="Times New Roman"/>
          <w:sz w:val="20"/>
          <w:szCs w:val="20"/>
          <w:lang w:val="en-US"/>
        </w:rPr>
        <w:t xml:space="preserve"> Jenis penelitian yang digunakan yaitu </w:t>
      </w:r>
      <w:r w:rsidRPr="002347D9">
        <w:rPr>
          <w:rFonts w:ascii="Times New Roman" w:hAnsi="Times New Roman" w:cs="Times New Roman"/>
          <w:i/>
          <w:sz w:val="20"/>
          <w:szCs w:val="20"/>
          <w:lang w:val="en-US"/>
        </w:rPr>
        <w:t xml:space="preserve">Research and Development </w:t>
      </w:r>
      <w:r w:rsidRPr="002347D9">
        <w:rPr>
          <w:rFonts w:ascii="Times New Roman" w:hAnsi="Times New Roman" w:cs="Times New Roman"/>
          <w:sz w:val="20"/>
          <w:szCs w:val="20"/>
          <w:lang w:val="en-US"/>
        </w:rPr>
        <w:t xml:space="preserve">(RnD) dengan model Borg </w:t>
      </w:r>
      <w:r w:rsidRPr="002347D9">
        <w:rPr>
          <w:rFonts w:ascii="Times New Roman" w:hAnsi="Times New Roman" w:cs="Times New Roman"/>
          <w:i/>
          <w:sz w:val="20"/>
          <w:szCs w:val="20"/>
          <w:lang w:val="en-US"/>
        </w:rPr>
        <w:t>and</w:t>
      </w:r>
      <w:r w:rsidRPr="002347D9">
        <w:rPr>
          <w:rFonts w:ascii="Times New Roman" w:hAnsi="Times New Roman" w:cs="Times New Roman"/>
          <w:sz w:val="20"/>
          <w:szCs w:val="20"/>
          <w:lang w:val="en-US"/>
        </w:rPr>
        <w:t xml:space="preserve"> Gall untuk menghasilkan produk dan sekaligus menguji kelayakan bahan </w:t>
      </w:r>
      <w:proofErr w:type="gramStart"/>
      <w:r w:rsidRPr="002347D9">
        <w:rPr>
          <w:rFonts w:ascii="Times New Roman" w:hAnsi="Times New Roman" w:cs="Times New Roman"/>
          <w:sz w:val="20"/>
          <w:szCs w:val="20"/>
          <w:lang w:val="en-US"/>
        </w:rPr>
        <w:t>ajar</w:t>
      </w:r>
      <w:proofErr w:type="gramEnd"/>
      <w:r w:rsidRPr="002347D9">
        <w:rPr>
          <w:rFonts w:ascii="Times New Roman" w:hAnsi="Times New Roman" w:cs="Times New Roman"/>
          <w:sz w:val="20"/>
          <w:szCs w:val="20"/>
          <w:lang w:val="en-US"/>
        </w:rPr>
        <w:t xml:space="preserve"> yang dikembangkan tersebut. </w:t>
      </w:r>
      <w:proofErr w:type="gramStart"/>
      <w:r w:rsidRPr="002347D9">
        <w:rPr>
          <w:rFonts w:ascii="Times New Roman" w:hAnsi="Times New Roman" w:cs="Times New Roman"/>
          <w:sz w:val="20"/>
          <w:szCs w:val="20"/>
          <w:lang w:val="en-US"/>
        </w:rPr>
        <w:t>Teknik analisis data menggunakan deskriptif kualitatif.</w:t>
      </w:r>
      <w:proofErr w:type="gramEnd"/>
      <w:r w:rsidRPr="002347D9">
        <w:rPr>
          <w:rFonts w:ascii="Times New Roman" w:hAnsi="Times New Roman" w:cs="Times New Roman"/>
          <w:sz w:val="20"/>
          <w:szCs w:val="20"/>
          <w:lang w:val="en-US"/>
        </w:rPr>
        <w:t xml:space="preserve"> Hasil kelayakan berdasarkan penilaian validasi materi oleh pakar ahli  tahap 1 memperoleh rata-rata presentase sebesar 49.58% dikategorikan “Cukup Layak” dan “Revisi” pada validasi tahap 2 mengalami peningkatkan dan diperoleh hasil 92,29% dengan kategori “layak” dan “tanpa revisi”. Sedangkan, validasi media tahap 1 diperoleh hasil 50,25% dengan kategori “cukup layak” dan “revisi”, pada validasi tahap 2 mengalami peningkatan dan diperoleh hasil 95% masuk dalam kategori “sangat layak” dan “tanpa revisi”. Hasil uji coba lapangan terhadap satu guru kelas tinggi di SDN Pleburan 03 memperlihatkan rata-rata angket isi materi yaitu 77,08% masuk dalam kategori “layak” dan “tanpa revisi” dan rata-rata hasil validasi struktur bahan ajar sebesar 90% masuk dalam kategori “layak” dan “tanpa revisi”. Bahan </w:t>
      </w:r>
      <w:proofErr w:type="gramStart"/>
      <w:r w:rsidRPr="002347D9">
        <w:rPr>
          <w:rFonts w:ascii="Times New Roman" w:hAnsi="Times New Roman" w:cs="Times New Roman"/>
          <w:sz w:val="20"/>
          <w:szCs w:val="20"/>
          <w:lang w:val="en-US"/>
        </w:rPr>
        <w:t>ajar</w:t>
      </w:r>
      <w:proofErr w:type="gramEnd"/>
      <w:r w:rsidRPr="002347D9">
        <w:rPr>
          <w:rFonts w:ascii="Times New Roman" w:hAnsi="Times New Roman" w:cs="Times New Roman"/>
          <w:sz w:val="20"/>
          <w:szCs w:val="20"/>
          <w:lang w:val="en-US"/>
        </w:rPr>
        <w:t xml:space="preserve"> materi faktor kelipatan bilangan berbasis pendekatan </w:t>
      </w:r>
      <w:r w:rsidRPr="002347D9">
        <w:rPr>
          <w:rFonts w:ascii="Times New Roman" w:hAnsi="Times New Roman" w:cs="Times New Roman"/>
          <w:i/>
          <w:sz w:val="20"/>
          <w:szCs w:val="20"/>
          <w:lang w:val="en-US"/>
        </w:rPr>
        <w:t>open-ended</w:t>
      </w:r>
      <w:r w:rsidRPr="002347D9">
        <w:rPr>
          <w:rFonts w:ascii="Times New Roman" w:hAnsi="Times New Roman" w:cs="Times New Roman"/>
          <w:sz w:val="20"/>
          <w:szCs w:val="20"/>
          <w:lang w:val="en-US"/>
        </w:rPr>
        <w:t xml:space="preserve"> untuk meningkatkan penalaran siswa telah memenuhi kriteria sangat baik dan layak digunakan dalam proses pembelajaran.</w:t>
      </w:r>
    </w:p>
    <w:p w14:paraId="0EDC9459" w14:textId="633DFE66" w:rsidR="005707DB" w:rsidRPr="002347D9" w:rsidRDefault="005620F0">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2347D9" w:rsidRPr="001D2F52">
        <w:rPr>
          <w:rFonts w:ascii="Times New Roman" w:hAnsi="Times New Roman" w:cs="Times New Roman"/>
          <w:sz w:val="20"/>
          <w:szCs w:val="20"/>
        </w:rPr>
        <w:t xml:space="preserve">Pengambangan, Bahan Ajar, Penalaran, Pendekatan  </w:t>
      </w:r>
      <w:r w:rsidR="002347D9" w:rsidRPr="001D2F52">
        <w:rPr>
          <w:rFonts w:ascii="Times New Roman" w:hAnsi="Times New Roman" w:cs="Times New Roman"/>
          <w:i/>
          <w:sz w:val="20"/>
          <w:szCs w:val="20"/>
        </w:rPr>
        <w:t>Open-Endeed</w:t>
      </w:r>
    </w:p>
    <w:p w14:paraId="3F33CFD5"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4DC454BB" w14:textId="77777777" w:rsidR="005707DB" w:rsidRDefault="005620F0">
            <w:pPr>
              <w:tabs>
                <w:tab w:val="left" w:pos="1026"/>
              </w:tabs>
              <w:spacing w:after="0" w:line="240" w:lineRule="auto"/>
              <w:rPr>
                <w:highlight w:val="yellow"/>
              </w:rPr>
            </w:pPr>
            <w:r>
              <w:rPr>
                <w:highlight w:val="yellow"/>
              </w:rPr>
              <w:t>Received</w:t>
            </w:r>
            <w:r>
              <w:rPr>
                <w:highlight w:val="yellow"/>
              </w:rPr>
              <w:tab/>
            </w:r>
          </w:p>
          <w:p w14:paraId="7FF36FFB" w14:textId="77777777" w:rsidR="005707DB" w:rsidRDefault="005620F0">
            <w:pPr>
              <w:tabs>
                <w:tab w:val="left" w:pos="1026"/>
              </w:tabs>
              <w:spacing w:after="0" w:line="240" w:lineRule="auto"/>
              <w:rPr>
                <w:highlight w:val="yellow"/>
              </w:rPr>
            </w:pPr>
            <w:r>
              <w:rPr>
                <w:highlight w:val="yellow"/>
              </w:rPr>
              <w:t>Approved</w:t>
            </w:r>
            <w:r>
              <w:rPr>
                <w:highlight w:val="yellow"/>
              </w:rPr>
              <w:tab/>
            </w:r>
          </w:p>
          <w:p w14:paraId="391BFF86" w14:textId="77777777" w:rsidR="005707DB" w:rsidRDefault="005620F0">
            <w:pPr>
              <w:tabs>
                <w:tab w:val="left" w:pos="1026"/>
              </w:tabs>
              <w:spacing w:after="0" w:line="240" w:lineRule="auto"/>
              <w:rPr>
                <w:highlight w:val="yellow"/>
              </w:rPr>
            </w:pPr>
            <w:r>
              <w:rPr>
                <w:highlight w:val="yellow"/>
              </w:rPr>
              <w:t>Published</w:t>
            </w:r>
            <w:r>
              <w:rPr>
                <w:highlight w:val="yellow"/>
              </w:rPr>
              <w:tab/>
            </w:r>
          </w:p>
        </w:tc>
        <w:tc>
          <w:tcPr>
            <w:tcW w:w="4825" w:type="dxa"/>
          </w:tcPr>
          <w:p w14:paraId="02267D98" w14:textId="1FC7F4BF" w:rsidR="005707DB" w:rsidRPr="00B175D3" w:rsidRDefault="002347D9" w:rsidP="002347D9">
            <w:pPr>
              <w:spacing w:before="60" w:after="0" w:line="240" w:lineRule="auto"/>
              <w:rPr>
                <w:color w:val="000000"/>
                <w:lang w:val="en-US"/>
              </w:rPr>
            </w:pPr>
            <w:r>
              <w:rPr>
                <w:color w:val="000000"/>
                <w:lang w:val="en-US"/>
              </w:rPr>
              <w:t>Laela FN</w:t>
            </w:r>
            <w:proofErr w:type="gramStart"/>
            <w:r>
              <w:rPr>
                <w:color w:val="000000"/>
              </w:rPr>
              <w:t>,</w:t>
            </w:r>
            <w:r>
              <w:rPr>
                <w:color w:val="000000"/>
                <w:lang w:val="en-US"/>
              </w:rPr>
              <w:t>Joko</w:t>
            </w:r>
            <w:proofErr w:type="gramEnd"/>
            <w:r>
              <w:rPr>
                <w:color w:val="000000"/>
                <w:lang w:val="en-US"/>
              </w:rPr>
              <w:t xml:space="preserve"> S, Singgih A</w:t>
            </w:r>
            <w:r w:rsidR="005620F0">
              <w:rPr>
                <w:color w:val="000000"/>
              </w:rPr>
              <w:t xml:space="preserve">. </w:t>
            </w:r>
            <w:r>
              <w:rPr>
                <w:color w:val="000000"/>
                <w:lang w:val="en-US"/>
              </w:rPr>
              <w:t>(2021).</w:t>
            </w:r>
            <w:r w:rsidRPr="002347D9">
              <w:rPr>
                <w:b/>
                <w:sz w:val="26"/>
                <w:szCs w:val="26"/>
              </w:rPr>
              <w:t xml:space="preserve"> </w:t>
            </w:r>
            <w:r w:rsidRPr="002347D9">
              <w:rPr>
                <w:color w:val="000000"/>
              </w:rPr>
              <w:t xml:space="preserve">Pengembangan Bahan Ajar Materi Faktor Kelipatan Bilangan Berbasis Pendekatan </w:t>
            </w:r>
            <w:r w:rsidRPr="002347D9">
              <w:rPr>
                <w:i/>
                <w:color w:val="000000"/>
              </w:rPr>
              <w:t>Open Ended</w:t>
            </w:r>
            <w:r w:rsidRPr="002347D9">
              <w:rPr>
                <w:color w:val="000000"/>
              </w:rPr>
              <w:t xml:space="preserve"> Untuk Meningkatkan Penalaran Siswa Sd Di  Kota Semarang.</w:t>
            </w:r>
            <w:r w:rsidR="00B3621F">
              <w:rPr>
                <w:color w:val="000000"/>
                <w:lang w:val="en-US"/>
              </w:rPr>
              <w:t>Wawasan Pendidikan</w:t>
            </w:r>
            <w:r w:rsidR="005620F0">
              <w:rPr>
                <w:color w:val="000000"/>
              </w:rPr>
              <w:t xml:space="preserve">, </w:t>
            </w:r>
            <w:r w:rsidR="00947831">
              <w:rPr>
                <w:color w:val="000000"/>
                <w:highlight w:val="yellow"/>
                <w:lang w:val="en-US"/>
              </w:rPr>
              <w:t>2</w:t>
            </w:r>
            <w:r w:rsidR="005620F0">
              <w:rPr>
                <w:color w:val="000000"/>
                <w:highlight w:val="yellow"/>
              </w:rPr>
              <w:t>(1), 1-13</w:t>
            </w:r>
          </w:p>
        </w:tc>
      </w:tr>
      <w:tr w:rsidR="005707DB" w14:paraId="41F1BC44" w14:textId="77777777">
        <w:tc>
          <w:tcPr>
            <w:tcW w:w="9072" w:type="dxa"/>
            <w:gridSpan w:val="2"/>
          </w:tcPr>
          <w:p w14:paraId="159CF863" w14:textId="77777777" w:rsidR="005707DB" w:rsidRDefault="005707DB">
            <w:pPr>
              <w:spacing w:before="60" w:after="0" w:line="240" w:lineRule="auto"/>
              <w:jc w:val="both"/>
              <w:rPr>
                <w:color w:val="000000"/>
              </w:rPr>
            </w:pP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EE0D379" w14:textId="2C86F260" w:rsidR="005707DB" w:rsidRPr="00B175D3" w:rsidRDefault="00B175D3">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lastRenderedPageBreak/>
        <w:t xml:space="preserve">Jl. </w:t>
      </w:r>
      <w:r>
        <w:rPr>
          <w:rFonts w:ascii="Times New Roman" w:eastAsia="Times New Roman" w:hAnsi="Times New Roman" w:cs="Times New Roman"/>
          <w:color w:val="000000"/>
          <w:lang w:val="en-US"/>
        </w:rPr>
        <w:t>Lontar no. 1, Dr.Cipto - Semaramg</w:t>
      </w:r>
    </w:p>
    <w:p w14:paraId="721DA0EC" w14:textId="1B33E8D3" w:rsidR="005707DB" w:rsidRPr="00B175D3" w:rsidRDefault="005620F0">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B175D3">
        <w:rPr>
          <w:rFonts w:ascii="Times New Roman" w:eastAsia="Times New Roman" w:hAnsi="Times New Roman" w:cs="Times New Roman"/>
          <w:color w:val="0000FF"/>
          <w:u w:val="single"/>
          <w:lang w:val="en-US"/>
        </w:rPr>
        <w:t>laelafnisa3@gmail.com</w:t>
      </w:r>
    </w:p>
    <w:p w14:paraId="75B36103" w14:textId="77777777" w:rsidR="005707DB" w:rsidRDefault="005707DB">
      <w:pPr>
        <w:spacing w:after="0" w:line="240" w:lineRule="auto"/>
        <w:rPr>
          <w:rFonts w:ascii="Times New Roman" w:eastAsia="Times New Roman" w:hAnsi="Times New Roman" w:cs="Times New Roman"/>
        </w:rPr>
      </w:pPr>
    </w:p>
    <w:p w14:paraId="7D9DA3DA" w14:textId="77777777" w:rsidR="005707DB" w:rsidRDefault="005707DB">
      <w:pPr>
        <w:spacing w:before="60" w:after="0" w:line="240" w:lineRule="auto"/>
        <w:rPr>
          <w:rFonts w:ascii="Times New Roman" w:eastAsia="Times New Roman" w:hAnsi="Times New Roman" w:cs="Times New Roman"/>
          <w:b/>
          <w:smallCaps/>
        </w:rPr>
      </w:pPr>
    </w:p>
    <w:p w14:paraId="23A3D477" w14:textId="77777777" w:rsidR="005707DB" w:rsidRDefault="005707DB">
      <w:pPr>
        <w:spacing w:before="60" w:after="0" w:line="240" w:lineRule="auto"/>
        <w:rPr>
          <w:rFonts w:ascii="Times New Roman" w:eastAsia="Times New Roman" w:hAnsi="Times New Roman" w:cs="Times New Roman"/>
          <w:b/>
          <w:smallCaps/>
        </w:rPr>
      </w:pPr>
    </w:p>
    <w:p w14:paraId="5F1A8CDB" w14:textId="77777777" w:rsidR="005707DB" w:rsidRDefault="005707DB">
      <w:pPr>
        <w:spacing w:before="60" w:after="0" w:line="240" w:lineRule="auto"/>
        <w:rPr>
          <w:rFonts w:ascii="Times New Roman" w:eastAsia="Times New Roman" w:hAnsi="Times New Roman" w:cs="Times New Roman"/>
          <w:b/>
          <w:smallCaps/>
        </w:rPr>
      </w:pPr>
    </w:p>
    <w:p w14:paraId="189A8D2B" w14:textId="77777777" w:rsidR="005707DB" w:rsidRDefault="005707DB">
      <w:pPr>
        <w:spacing w:before="60" w:after="0" w:line="240" w:lineRule="auto"/>
        <w:rPr>
          <w:rFonts w:ascii="Times New Roman" w:eastAsia="Times New Roman" w:hAnsi="Times New Roman" w:cs="Times New Roman"/>
          <w:b/>
          <w:smallCaps/>
        </w:rPr>
        <w:sectPr w:rsidR="005707DB">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454" w:gutter="0"/>
          <w:pgNumType w:start="1"/>
          <w:cols w:space="720"/>
          <w:titlePg/>
        </w:sectPr>
      </w:pPr>
    </w:p>
    <w:p w14:paraId="7C267BC4" w14:textId="77777777" w:rsidR="005707DB" w:rsidRDefault="005620F0">
      <w:pPr>
        <w:spacing w:after="0" w:line="240" w:lineRule="auto"/>
        <w:rPr>
          <w:rFonts w:ascii="Times New Roman" w:eastAsia="Times New Roman" w:hAnsi="Times New Roman" w:cs="Times New Roman"/>
          <w:b/>
        </w:rPr>
      </w:pPr>
      <w:r>
        <w:lastRenderedPageBreak/>
        <w:br w:type="page"/>
      </w:r>
    </w:p>
    <w:p w14:paraId="6B67038A" w14:textId="4A3F1AFA" w:rsidR="005707DB" w:rsidRDefault="00B175D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lastRenderedPageBreak/>
        <w:t xml:space="preserve">PENDAHULUAN </w:t>
      </w:r>
    </w:p>
    <w:p w14:paraId="7B2CB16B" w14:textId="77777777" w:rsidR="00B175D3" w:rsidRPr="00B175D3" w:rsidRDefault="00B175D3" w:rsidP="005242D5">
      <w:pPr>
        <w:spacing w:after="0" w:line="360" w:lineRule="auto"/>
        <w:ind w:firstLine="720"/>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 xml:space="preserve">Menurut Undang-Undang (UU) Nomor 20 Tahun 2003 tentang system pendidikan untuk mewujudkan suasana belajar dan proses pembelajaran agar peserta didik aktif mengembangkan potensi dirinya untuk memiliki kekuatan spiritual keagamaan, pengendalian diri, kepribadian, kecerdasan, akhlak mulia, serta ketrampilan yang diperlukan dirinya, masyarakat, bangsa dan Negara. </w:t>
      </w:r>
      <w:r w:rsidRPr="00B175D3">
        <w:rPr>
          <w:rFonts w:ascii="Times New Roman" w:hAnsi="Times New Roman" w:cs="Times New Roman"/>
          <w:i/>
          <w:sz w:val="24"/>
          <w:szCs w:val="24"/>
          <w:lang w:val="en-US"/>
        </w:rPr>
        <w:t>Dictionary of Education</w:t>
      </w:r>
      <w:r w:rsidRPr="00B175D3">
        <w:rPr>
          <w:rFonts w:ascii="Times New Roman" w:hAnsi="Times New Roman" w:cs="Times New Roman"/>
          <w:sz w:val="24"/>
          <w:szCs w:val="24"/>
          <w:lang w:val="en-US"/>
        </w:rPr>
        <w:t xml:space="preserve"> (Soegeng, </w:t>
      </w:r>
      <w:proofErr w:type="gramStart"/>
      <w:r w:rsidRPr="00B175D3">
        <w:rPr>
          <w:rFonts w:ascii="Times New Roman" w:hAnsi="Times New Roman" w:cs="Times New Roman"/>
          <w:sz w:val="24"/>
          <w:szCs w:val="24"/>
          <w:lang w:val="en-US"/>
        </w:rPr>
        <w:t>2016 :</w:t>
      </w:r>
      <w:proofErr w:type="gramEnd"/>
      <w:r w:rsidRPr="00B175D3">
        <w:rPr>
          <w:rFonts w:ascii="Times New Roman" w:hAnsi="Times New Roman" w:cs="Times New Roman"/>
          <w:sz w:val="24"/>
          <w:szCs w:val="24"/>
          <w:lang w:val="en-US"/>
        </w:rPr>
        <w:t xml:space="preserve"> 8) meneyebutkan bahwa pendidikan adalah proses sisial yang dihadapkan pada pengaruh lingkungan yang terkontrol, sehingga dapat memperoleh atau mengalami perkembangan kemampuan sosial dan kemampuan individu secara optimum. </w:t>
      </w:r>
    </w:p>
    <w:p w14:paraId="7C9F467C" w14:textId="77777777" w:rsidR="00B175D3" w:rsidRPr="00B175D3" w:rsidRDefault="00B175D3" w:rsidP="005242D5">
      <w:pPr>
        <w:spacing w:after="0" w:line="360" w:lineRule="auto"/>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ab/>
      </w:r>
      <w:proofErr w:type="gramStart"/>
      <w:r w:rsidRPr="00B175D3">
        <w:rPr>
          <w:rFonts w:ascii="Times New Roman" w:hAnsi="Times New Roman" w:cs="Times New Roman"/>
          <w:sz w:val="24"/>
          <w:szCs w:val="24"/>
          <w:lang w:val="en-US"/>
        </w:rPr>
        <w:t>Abad ke-21 merupakan abad yang penuh tantangan dan perubahan (Panchal 2013:1).</w:t>
      </w:r>
      <w:proofErr w:type="gramEnd"/>
      <w:r w:rsidRPr="00B175D3">
        <w:rPr>
          <w:rFonts w:ascii="Times New Roman" w:hAnsi="Times New Roman" w:cs="Times New Roman"/>
          <w:sz w:val="24"/>
          <w:szCs w:val="24"/>
          <w:lang w:val="en-US"/>
        </w:rPr>
        <w:t xml:space="preserve"> Tantangan dan perubah dituntut untuk menciptakan sumber </w:t>
      </w:r>
      <w:proofErr w:type="gramStart"/>
      <w:r w:rsidRPr="00B175D3">
        <w:rPr>
          <w:rFonts w:ascii="Times New Roman" w:hAnsi="Times New Roman" w:cs="Times New Roman"/>
          <w:sz w:val="24"/>
          <w:szCs w:val="24"/>
          <w:lang w:val="en-US"/>
        </w:rPr>
        <w:t>daya  manusia</w:t>
      </w:r>
      <w:proofErr w:type="gramEnd"/>
      <w:r w:rsidRPr="00B175D3">
        <w:rPr>
          <w:rFonts w:ascii="Times New Roman" w:hAnsi="Times New Roman" w:cs="Times New Roman"/>
          <w:sz w:val="24"/>
          <w:szCs w:val="24"/>
          <w:lang w:val="en-US"/>
        </w:rPr>
        <w:t xml:space="preserve"> yang berkualitas. </w:t>
      </w:r>
      <w:proofErr w:type="gramStart"/>
      <w:r w:rsidRPr="00B175D3">
        <w:rPr>
          <w:rFonts w:ascii="Times New Roman" w:hAnsi="Times New Roman" w:cs="Times New Roman"/>
          <w:sz w:val="24"/>
          <w:szCs w:val="24"/>
          <w:lang w:val="en-US"/>
        </w:rPr>
        <w:t>Mewujudkan generasi milenial dengan sumber daya manusia yang berguna dan berkualitas bukan hal yang mudah dan membutuhkan partisipasi dari semua kalangan.</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Masyarakat berpengetahuan harus luas memiliki ketrampilan yang dibutuhkan untuk bersaing dengan dunia global, terutama generasi muda sebagi asset penerus bangsa.</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i/>
          <w:sz w:val="24"/>
          <w:szCs w:val="24"/>
          <w:lang w:val="en-US"/>
        </w:rPr>
        <w:t>Principles  and</w:t>
      </w:r>
      <w:proofErr w:type="gramEnd"/>
      <w:r w:rsidRPr="00B175D3">
        <w:rPr>
          <w:rFonts w:ascii="Times New Roman" w:hAnsi="Times New Roman" w:cs="Times New Roman"/>
          <w:i/>
          <w:sz w:val="24"/>
          <w:szCs w:val="24"/>
          <w:lang w:val="en-US"/>
        </w:rPr>
        <w:t xml:space="preserve"> Standards for School Mathematics</w:t>
      </w:r>
      <w:r w:rsidRPr="00B175D3">
        <w:rPr>
          <w:rFonts w:ascii="Times New Roman" w:hAnsi="Times New Roman" w:cs="Times New Roman"/>
          <w:sz w:val="24"/>
          <w:szCs w:val="24"/>
          <w:lang w:val="en-US"/>
        </w:rPr>
        <w:t xml:space="preserve"> NCTM, (Wijaya, 2016:13) mengatakan ada lima kemampuan yang seharusnya dimiliki siswa. Kemampuan tersebut diantaranya pemecahan masalah, penalaran, komunikasi, koneksi dan representasi, dimana kemampuan tersebut sudah dimulai dari tingkat </w:t>
      </w:r>
      <w:proofErr w:type="gramStart"/>
      <w:r w:rsidRPr="00B175D3">
        <w:rPr>
          <w:rFonts w:ascii="Times New Roman" w:hAnsi="Times New Roman" w:cs="Times New Roman"/>
          <w:sz w:val="24"/>
          <w:szCs w:val="24"/>
          <w:lang w:val="en-US"/>
        </w:rPr>
        <w:t>taman</w:t>
      </w:r>
      <w:proofErr w:type="gramEnd"/>
      <w:r w:rsidRPr="00B175D3">
        <w:rPr>
          <w:rFonts w:ascii="Times New Roman" w:hAnsi="Times New Roman" w:cs="Times New Roman"/>
          <w:sz w:val="24"/>
          <w:szCs w:val="24"/>
          <w:lang w:val="en-US"/>
        </w:rPr>
        <w:t xml:space="preserve"> kanak-kanak. Kemampuan penalaran yang dimiliki siswa dalam proses pembelajaran dinilai sangat penting karena penalaran merupakan aktivitas berfikir yang abstrak.</w:t>
      </w:r>
    </w:p>
    <w:p w14:paraId="0560038E" w14:textId="77777777" w:rsidR="00B175D3" w:rsidRPr="00B175D3" w:rsidRDefault="00B175D3" w:rsidP="005242D5">
      <w:pPr>
        <w:spacing w:after="0" w:line="360" w:lineRule="auto"/>
        <w:ind w:firstLine="810"/>
        <w:jc w:val="both"/>
        <w:rPr>
          <w:rFonts w:ascii="Times New Roman" w:hAnsi="Times New Roman" w:cs="Times New Roman"/>
          <w:sz w:val="24"/>
          <w:szCs w:val="24"/>
          <w:lang w:val="en-US"/>
        </w:rPr>
      </w:pPr>
      <w:proofErr w:type="gramStart"/>
      <w:r w:rsidRPr="00B175D3">
        <w:rPr>
          <w:rFonts w:ascii="Times New Roman" w:hAnsi="Times New Roman" w:cs="Times New Roman"/>
          <w:sz w:val="24"/>
          <w:szCs w:val="24"/>
          <w:lang w:val="en-US"/>
        </w:rPr>
        <w:t>Kemampuan penalaran sangat diperlukan dalam matematika untuk memecahkan masalah serta menarik kesimpulan.</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Kemampuan penalaran matematis merupakan suatu kemampuan yang harus dikembangkan secara konsisten dengan menggunakan berbagai macam aspek dasar penelaran (Nurhayati, 201</w:t>
      </w:r>
      <w:r w:rsidRPr="00B175D3">
        <w:rPr>
          <w:rFonts w:ascii="Times New Roman" w:hAnsi="Times New Roman" w:cs="Times New Roman"/>
          <w:sz w:val="24"/>
          <w:szCs w:val="24"/>
        </w:rPr>
        <w:t>7</w:t>
      </w:r>
      <w:r w:rsidRPr="00B175D3">
        <w:rPr>
          <w:rFonts w:ascii="Times New Roman" w:hAnsi="Times New Roman" w:cs="Times New Roman"/>
          <w:sz w:val="24"/>
          <w:szCs w:val="24"/>
          <w:lang w:val="en-US"/>
        </w:rPr>
        <w:t>).</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Pendidikan matematika di sekolah ditunjukan agar siswa dapat mengembangkan daya nalar yang baik terutama ketika menyelesaikan suatu masalah dalam mata pelajaran matematika.</w:t>
      </w:r>
      <w:proofErr w:type="gramEnd"/>
      <w:r w:rsidRPr="00B175D3">
        <w:rPr>
          <w:rFonts w:ascii="Times New Roman" w:hAnsi="Times New Roman" w:cs="Times New Roman"/>
          <w:sz w:val="24"/>
          <w:szCs w:val="24"/>
          <w:lang w:val="en-US"/>
        </w:rPr>
        <w:t xml:space="preserve"> </w:t>
      </w:r>
    </w:p>
    <w:p w14:paraId="4F74FF7B" w14:textId="77777777" w:rsidR="00B175D3" w:rsidRPr="00B175D3" w:rsidRDefault="00B175D3" w:rsidP="005242D5">
      <w:pPr>
        <w:spacing w:after="0" w:line="360" w:lineRule="auto"/>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ab/>
        <w:t xml:space="preserve">Disisi </w:t>
      </w:r>
      <w:proofErr w:type="gramStart"/>
      <w:r w:rsidRPr="00B175D3">
        <w:rPr>
          <w:rFonts w:ascii="Times New Roman" w:hAnsi="Times New Roman" w:cs="Times New Roman"/>
          <w:sz w:val="24"/>
          <w:szCs w:val="24"/>
          <w:lang w:val="en-US"/>
        </w:rPr>
        <w:t>lain</w:t>
      </w:r>
      <w:proofErr w:type="gramEnd"/>
      <w:r w:rsidRPr="00B175D3">
        <w:rPr>
          <w:rFonts w:ascii="Times New Roman" w:hAnsi="Times New Roman" w:cs="Times New Roman"/>
          <w:sz w:val="24"/>
          <w:szCs w:val="24"/>
          <w:lang w:val="en-US"/>
        </w:rPr>
        <w:t xml:space="preserve"> belajar matematika diharapkan dapat memberikan penataan nalar, pembentukan sikap siswa serta kemampuan menerapkan alam kehidupan sehari-hari salah satu pentingnya matematika adalah obyek abstrak, sehingga kebanyakan siswa menganggap pembelajarabn matematika itu sulit. </w:t>
      </w:r>
      <w:proofErr w:type="gramStart"/>
      <w:r w:rsidRPr="00B175D3">
        <w:rPr>
          <w:rFonts w:ascii="Times New Roman" w:hAnsi="Times New Roman" w:cs="Times New Roman"/>
          <w:sz w:val="24"/>
          <w:szCs w:val="24"/>
          <w:lang w:val="en-US"/>
        </w:rPr>
        <w:t>Menurut Moegiadi (dalam Hadi, 2017) penerapan pendidikan matematika tidak dapat berjalan dengan sendirinya, tentu campur tangan pemerintah ikut andil dalam hal ini, seperti penyediaan bahan ajar, pelatihan guru, menyediakan alat peraga sangat menunjang keberhasilan pendidikan matematika.</w:t>
      </w:r>
      <w:proofErr w:type="gramEnd"/>
      <w:r w:rsidRPr="00B175D3">
        <w:rPr>
          <w:rFonts w:ascii="Times New Roman" w:hAnsi="Times New Roman" w:cs="Times New Roman"/>
          <w:sz w:val="24"/>
          <w:szCs w:val="24"/>
          <w:lang w:val="en-US"/>
        </w:rPr>
        <w:t xml:space="preserve"> </w:t>
      </w:r>
    </w:p>
    <w:p w14:paraId="5679E18E" w14:textId="77777777" w:rsidR="00B175D3" w:rsidRPr="00B175D3" w:rsidRDefault="00B175D3" w:rsidP="005242D5">
      <w:pPr>
        <w:spacing w:after="0" w:line="360" w:lineRule="auto"/>
        <w:rPr>
          <w:rFonts w:ascii="Times New Roman" w:hAnsi="Times New Roman" w:cs="Times New Roman"/>
          <w:sz w:val="24"/>
          <w:szCs w:val="24"/>
          <w:lang w:val="en-US"/>
        </w:rPr>
      </w:pPr>
      <w:r w:rsidRPr="00B175D3">
        <w:rPr>
          <w:rFonts w:ascii="Times New Roman" w:hAnsi="Times New Roman" w:cs="Times New Roman"/>
          <w:sz w:val="24"/>
          <w:szCs w:val="24"/>
          <w:lang w:val="en-US"/>
        </w:rPr>
        <w:lastRenderedPageBreak/>
        <w:tab/>
        <w:t>Sulianto (2020: 61) mengatakan “</w:t>
      </w:r>
      <w:r w:rsidRPr="00B175D3">
        <w:rPr>
          <w:rFonts w:ascii="Times New Roman" w:hAnsi="Times New Roman" w:cs="Times New Roman"/>
          <w:i/>
          <w:sz w:val="24"/>
          <w:szCs w:val="24"/>
          <w:lang w:val="en-US"/>
        </w:rPr>
        <w:t>On Mathematics field, to rearch the goal of learning process on 21</w:t>
      </w:r>
      <w:r w:rsidRPr="00B175D3">
        <w:rPr>
          <w:rFonts w:ascii="Times New Roman" w:hAnsi="Times New Roman" w:cs="Times New Roman"/>
          <w:i/>
          <w:sz w:val="24"/>
          <w:szCs w:val="24"/>
          <w:vertAlign w:val="superscript"/>
          <w:lang w:val="en-US"/>
        </w:rPr>
        <w:t>st</w:t>
      </w:r>
      <w:r w:rsidRPr="00B175D3">
        <w:rPr>
          <w:rFonts w:ascii="Times New Roman" w:hAnsi="Times New Roman" w:cs="Times New Roman"/>
          <w:i/>
          <w:sz w:val="24"/>
          <w:szCs w:val="24"/>
          <w:lang w:val="en-US"/>
        </w:rPr>
        <w:t xml:space="preserve"> century which is thingking critically, solving problem, and creating innovative learning process, reasoning aspect is important to help student giving their opinion and making decision skill.”</w:t>
      </w:r>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Dalam kutipan tersebut bahwa dalam bidang matematika, kemampuan penalaran merupakan salah satu aspek untuk mencapai tujuan pembelajaran abad 21.</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Kemampuan penalaran matematika adalah dua hal yang tidak terpisahkan.</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Termasuk pada materi faktor kelipatan bilangan yang membutuhkan kemampuan tersebut untuk mencapai keberhasilan pembelajaran.</w:t>
      </w:r>
      <w:proofErr w:type="gramEnd"/>
      <w:r w:rsidRPr="00B175D3">
        <w:rPr>
          <w:rFonts w:ascii="Times New Roman" w:hAnsi="Times New Roman" w:cs="Times New Roman"/>
          <w:sz w:val="24"/>
          <w:szCs w:val="24"/>
          <w:lang w:val="en-US"/>
        </w:rPr>
        <w:t xml:space="preserve"> </w:t>
      </w:r>
    </w:p>
    <w:p w14:paraId="1CCEF68E" w14:textId="77777777" w:rsidR="00B175D3" w:rsidRPr="00B175D3" w:rsidRDefault="00B175D3" w:rsidP="005242D5">
      <w:pPr>
        <w:spacing w:after="0" w:line="360" w:lineRule="auto"/>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ab/>
        <w:t xml:space="preserve">Berdasarkan hasil wawancara dengan guru kelas IV yang dilakukan di SDN Pleburan 03 Semarang dengan narasumber Ibu Dwi Endah Oktyasari, S.Pd narasumber menyatakan bahwa pembelajaran di sekolah dasar  ternyata masih ada siswa yang belum bisa memahami dan menalar materi faktor kelipatan bilangan dikarenakan tidak adanya ketersediaan bahan ajar yang memadai. </w:t>
      </w:r>
      <w:proofErr w:type="gramStart"/>
      <w:r w:rsidRPr="00B175D3">
        <w:rPr>
          <w:rFonts w:ascii="Times New Roman" w:hAnsi="Times New Roman" w:cs="Times New Roman"/>
          <w:sz w:val="24"/>
          <w:szCs w:val="24"/>
          <w:lang w:val="en-US"/>
        </w:rPr>
        <w:t>Dari aspek pemaanfaatan bahan ajar, guru dan siswa hanya menggunakan buku pegangan (buku guru, buku siswa, LKS) sebagai bahan ajar satu-satunya.</w:t>
      </w:r>
      <w:proofErr w:type="gramEnd"/>
      <w:r w:rsidRPr="00B175D3">
        <w:rPr>
          <w:rFonts w:ascii="Times New Roman" w:hAnsi="Times New Roman" w:cs="Times New Roman"/>
          <w:sz w:val="24"/>
          <w:szCs w:val="24"/>
          <w:lang w:val="en-US"/>
        </w:rPr>
        <w:t xml:space="preserve"> Tidak tersedianya penunjang bahan </w:t>
      </w:r>
      <w:proofErr w:type="gramStart"/>
      <w:r w:rsidRPr="00B175D3">
        <w:rPr>
          <w:rFonts w:ascii="Times New Roman" w:hAnsi="Times New Roman" w:cs="Times New Roman"/>
          <w:sz w:val="24"/>
          <w:szCs w:val="24"/>
          <w:lang w:val="en-US"/>
        </w:rPr>
        <w:t>ajar</w:t>
      </w:r>
      <w:proofErr w:type="gramEnd"/>
      <w:r w:rsidRPr="00B175D3">
        <w:rPr>
          <w:rFonts w:ascii="Times New Roman" w:hAnsi="Times New Roman" w:cs="Times New Roman"/>
          <w:sz w:val="24"/>
          <w:szCs w:val="24"/>
          <w:lang w:val="en-US"/>
        </w:rPr>
        <w:t xml:space="preserve"> untuk siswa, menyebabkan wawasan atau pengetahuan siswa tentang materi faktor kelipatan bilangan hanya sebatas pengetahuan yang terdapat di buku pegangan</w:t>
      </w:r>
    </w:p>
    <w:p w14:paraId="4AD563A0" w14:textId="77777777" w:rsidR="00B175D3" w:rsidRPr="00B175D3" w:rsidRDefault="00B175D3" w:rsidP="005242D5">
      <w:pPr>
        <w:spacing w:after="0" w:line="360" w:lineRule="auto"/>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ab/>
      </w:r>
      <w:proofErr w:type="gramStart"/>
      <w:r w:rsidRPr="00B175D3">
        <w:rPr>
          <w:rFonts w:ascii="Times New Roman" w:hAnsi="Times New Roman" w:cs="Times New Roman"/>
          <w:sz w:val="24"/>
          <w:szCs w:val="24"/>
          <w:lang w:val="en-US"/>
        </w:rPr>
        <w:t>Penelitian terdahulu yang relevan adalah penelitian yang berjudul “Pengaruh Pendelatan Open-Ended Terhadap Kemampuan berfikir Kritis Matematika” oleh Lely lailatus Syarifah Tahun 2012.</w:t>
      </w:r>
      <w:proofErr w:type="gramEnd"/>
      <w:r w:rsidRPr="00B175D3">
        <w:rPr>
          <w:rFonts w:ascii="Times New Roman" w:hAnsi="Times New Roman" w:cs="Times New Roman"/>
          <w:sz w:val="24"/>
          <w:szCs w:val="24"/>
          <w:lang w:val="en-US"/>
        </w:rPr>
        <w:t xml:space="preserve"> </w:t>
      </w:r>
      <w:proofErr w:type="gramStart"/>
      <w:r w:rsidRPr="00B175D3">
        <w:rPr>
          <w:rFonts w:ascii="Times New Roman" w:hAnsi="Times New Roman" w:cs="Times New Roman"/>
          <w:sz w:val="24"/>
          <w:szCs w:val="24"/>
          <w:lang w:val="en-US"/>
        </w:rPr>
        <w:t xml:space="preserve">Selanjutnya penelitian yang relevan lainya dilakukan oleh Sulianto Tahun 2019“Analisis Implementasi Pembelajaran Di Sekolah Dasar Pada Pengembangan Model Advance Organizer Berbasis Pendekatan </w:t>
      </w:r>
      <w:r w:rsidRPr="00B175D3">
        <w:rPr>
          <w:rFonts w:ascii="Times New Roman" w:hAnsi="Times New Roman" w:cs="Times New Roman"/>
          <w:i/>
          <w:iCs/>
          <w:sz w:val="24"/>
          <w:szCs w:val="24"/>
          <w:lang w:val="en-US"/>
        </w:rPr>
        <w:t>Open</w:t>
      </w:r>
      <w:r w:rsidRPr="00B175D3">
        <w:rPr>
          <w:rFonts w:ascii="Times New Roman" w:hAnsi="Times New Roman" w:cs="Times New Roman"/>
          <w:i/>
          <w:iCs/>
          <w:sz w:val="24"/>
          <w:szCs w:val="24"/>
        </w:rPr>
        <w:t>-</w:t>
      </w:r>
      <w:r w:rsidRPr="00B175D3">
        <w:rPr>
          <w:rFonts w:ascii="Times New Roman" w:hAnsi="Times New Roman" w:cs="Times New Roman"/>
          <w:i/>
          <w:iCs/>
          <w:sz w:val="24"/>
          <w:szCs w:val="24"/>
          <w:lang w:val="en-US"/>
        </w:rPr>
        <w:t>Ended</w:t>
      </w:r>
      <w:r w:rsidRPr="00B175D3">
        <w:rPr>
          <w:rFonts w:ascii="Times New Roman" w:hAnsi="Times New Roman" w:cs="Times New Roman"/>
          <w:sz w:val="24"/>
          <w:szCs w:val="24"/>
          <w:lang w:val="en-US"/>
        </w:rPr>
        <w:t xml:space="preserve"> Untuk Meningkatkan Penalaran Siswa”.</w:t>
      </w:r>
      <w:proofErr w:type="gramEnd"/>
      <w:r w:rsidRPr="00B175D3">
        <w:rPr>
          <w:rFonts w:ascii="Times New Roman" w:hAnsi="Times New Roman" w:cs="Times New Roman"/>
          <w:sz w:val="24"/>
          <w:szCs w:val="24"/>
          <w:lang w:val="en-US"/>
        </w:rPr>
        <w:t xml:space="preserve"> </w:t>
      </w:r>
    </w:p>
    <w:p w14:paraId="71FACB59" w14:textId="7A89BD8D" w:rsidR="00B175D3" w:rsidRPr="00B175D3" w:rsidRDefault="00B175D3" w:rsidP="005242D5">
      <w:pPr>
        <w:spacing w:line="360" w:lineRule="auto"/>
        <w:jc w:val="both"/>
        <w:rPr>
          <w:rFonts w:ascii="Times New Roman" w:hAnsi="Times New Roman" w:cs="Times New Roman"/>
          <w:sz w:val="24"/>
          <w:szCs w:val="24"/>
          <w:lang w:val="en-US"/>
        </w:rPr>
      </w:pPr>
      <w:r w:rsidRPr="00B175D3">
        <w:rPr>
          <w:rFonts w:ascii="Times New Roman" w:hAnsi="Times New Roman" w:cs="Times New Roman"/>
          <w:sz w:val="24"/>
          <w:szCs w:val="24"/>
          <w:lang w:val="en-US"/>
        </w:rPr>
        <w:tab/>
        <w:t>Tujuan dilaksanakan penelitian ini adalah sebegai berikut: (1) Mengetahui ketersediaan bahan ajar yang digunakan untuk meningkatkan penalaran siswa di sekolah dasar; (2) Mengetahui langkah pengembangan bahan ajar berbasis pendekatan open-ended pada materi faktor kelipatan bilangan kelas IV SD untuk meningkatkan kemampuan penalaran siswa; (3) Untuk mengetahui kelayakan bahan ajar pada materi faktor kelipatan bilangan berdasarkan penilaian ahli dan uji coba awal lapangan secara terbatas.</w:t>
      </w:r>
    </w:p>
    <w:p w14:paraId="3B07F766" w14:textId="4384EC66" w:rsidR="005707DB" w:rsidRPr="00B175D3" w:rsidRDefault="00B175D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METODE </w:t>
      </w:r>
    </w:p>
    <w:p w14:paraId="1660CEAE" w14:textId="77777777" w:rsidR="00B175D3" w:rsidRDefault="00B175D3" w:rsidP="00524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w:t>
      </w:r>
      <w:r w:rsidRPr="00B87C44">
        <w:rPr>
          <w:rFonts w:ascii="Times New Roman" w:hAnsi="Times New Roman" w:cs="Times New Roman"/>
          <w:i/>
          <w:sz w:val="24"/>
          <w:szCs w:val="24"/>
        </w:rPr>
        <w:t>Research and Development</w:t>
      </w:r>
      <w:r>
        <w:rPr>
          <w:rFonts w:ascii="Times New Roman" w:hAnsi="Times New Roman" w:cs="Times New Roman"/>
          <w:sz w:val="24"/>
          <w:szCs w:val="24"/>
        </w:rPr>
        <w:t xml:space="preserve"> (RnD). Peneliti menggunakan prosedur ini untuk mengembangan sebuah bahan ajar materi faktor kelipatan bilangan </w:t>
      </w:r>
      <w:r>
        <w:rPr>
          <w:rFonts w:ascii="Times New Roman" w:hAnsi="Times New Roman" w:cs="Times New Roman"/>
          <w:sz w:val="24"/>
          <w:szCs w:val="24"/>
        </w:rPr>
        <w:lastRenderedPageBreak/>
        <w:t xml:space="preserve">berbasis pendekatan open-ended untuk meningkatkan penalaran siswa. Peneliti dan pengembangan yang dilakukan oleh peneliti menggunakan model Borg </w:t>
      </w:r>
      <w:r w:rsidRPr="00BA3BDA">
        <w:rPr>
          <w:rFonts w:ascii="Times New Roman" w:hAnsi="Times New Roman" w:cs="Times New Roman"/>
          <w:i/>
          <w:sz w:val="24"/>
          <w:szCs w:val="24"/>
        </w:rPr>
        <w:t>and</w:t>
      </w:r>
      <w:r>
        <w:rPr>
          <w:rFonts w:ascii="Times New Roman" w:hAnsi="Times New Roman" w:cs="Times New Roman"/>
          <w:sz w:val="24"/>
          <w:szCs w:val="24"/>
        </w:rPr>
        <w:t xml:space="preserve"> Gall.</w:t>
      </w:r>
    </w:p>
    <w:p w14:paraId="1AE59B0A" w14:textId="77777777" w:rsidR="00B175D3" w:rsidRDefault="00B175D3" w:rsidP="00524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Uji kelayakan mengenai pengembangan bahan ajar dilakukan dengan pemberian kuisioner (angket)  mengenai kelayakan abahna ajar isi dan media oleh validator dosen ahli dan guru untuk keberterimaan bahan ajar pada tahap uji coba lapangan. Uji coba lapangan dilakukan di SDN Pleburan 03 Semarang dengan sample guru kelas IV Pada Oktober  2021. Tahap uji coba lapangan awal dilakukan apabila produk bahan ajar telah dinyatakan layak oleh validator dosen ahli. Teknik pengumpulan data yang dilakukan oleh peneliti berupa data kualtatif.</w:t>
      </w:r>
    </w:p>
    <w:p w14:paraId="7579A074" w14:textId="77777777" w:rsidR="00B175D3" w:rsidRDefault="00B175D3" w:rsidP="00524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Skor penilaian kuisioner menggunakan skala </w:t>
      </w:r>
      <w:r>
        <w:rPr>
          <w:rFonts w:ascii="Times New Roman" w:hAnsi="Times New Roman" w:cs="Times New Roman"/>
          <w:i/>
          <w:sz w:val="24"/>
          <w:szCs w:val="24"/>
        </w:rPr>
        <w:t>L</w:t>
      </w:r>
      <w:r w:rsidRPr="008D645E">
        <w:rPr>
          <w:rFonts w:ascii="Times New Roman" w:hAnsi="Times New Roman" w:cs="Times New Roman"/>
          <w:i/>
          <w:sz w:val="24"/>
          <w:szCs w:val="24"/>
        </w:rPr>
        <w:t>ikert</w:t>
      </w:r>
      <w:r>
        <w:rPr>
          <w:rFonts w:ascii="Times New Roman" w:hAnsi="Times New Roman" w:cs="Times New Roman"/>
          <w:i/>
          <w:sz w:val="24"/>
          <w:szCs w:val="24"/>
        </w:rPr>
        <w:t xml:space="preserve"> </w:t>
      </w:r>
      <w:r>
        <w:rPr>
          <w:rFonts w:ascii="Times New Roman" w:hAnsi="Times New Roman" w:cs="Times New Roman"/>
          <w:sz w:val="24"/>
          <w:szCs w:val="24"/>
        </w:rPr>
        <w:t>pada kuisioner instrument validasi media dan materi. Skala Likert yaitu dengan menghadirkan piliham jawaban melalui skor nilai meliputi “4 (sangat valid), 3 (valid), 2 (cukup valid), 1 (tidak valid)”.</w:t>
      </w:r>
    </w:p>
    <w:p w14:paraId="560D6977" w14:textId="77777777" w:rsidR="00B175D3" w:rsidRDefault="00B175D3" w:rsidP="00524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mengetahui penilaian kelayakan pengembangan bahan ajar maka dibutuhkan intepretasi kriteria penilaian. Dalam hal ini menggunakan nilai presentasi yang dikemukakan oleh Arikunto sebagai kriteria penilaian kelayakan pada tabel dibawah ini: </w:t>
      </w:r>
    </w:p>
    <w:tbl>
      <w:tblPr>
        <w:tblStyle w:val="LightShading"/>
        <w:tblpPr w:leftFromText="180" w:rightFromText="180" w:vertAnchor="text" w:horzAnchor="page" w:tblpX="3501" w:tblpY="192"/>
        <w:tblW w:w="0" w:type="auto"/>
        <w:tblLook w:val="04A0" w:firstRow="1" w:lastRow="0" w:firstColumn="1" w:lastColumn="0" w:noHBand="0" w:noVBand="1"/>
      </w:tblPr>
      <w:tblGrid>
        <w:gridCol w:w="938"/>
        <w:gridCol w:w="3089"/>
        <w:gridCol w:w="1727"/>
      </w:tblGrid>
      <w:tr w:rsidR="00B175D3" w:rsidRPr="00A069B5" w14:paraId="7282223C" w14:textId="77777777" w:rsidTr="00C81B1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38" w:type="dxa"/>
          </w:tcPr>
          <w:p w14:paraId="5B93E6A6" w14:textId="77777777" w:rsidR="00B175D3" w:rsidRPr="00A069B5" w:rsidRDefault="00B175D3" w:rsidP="005242D5">
            <w:pPr>
              <w:autoSpaceDE w:val="0"/>
              <w:autoSpaceDN w:val="0"/>
              <w:adjustRightInd w:val="0"/>
              <w:spacing w:line="360" w:lineRule="auto"/>
              <w:jc w:val="both"/>
              <w:rPr>
                <w:color w:val="000000"/>
              </w:rPr>
            </w:pPr>
            <w:r w:rsidRPr="00A069B5">
              <w:rPr>
                <w:color w:val="000000"/>
              </w:rPr>
              <w:t>No.</w:t>
            </w:r>
          </w:p>
        </w:tc>
        <w:tc>
          <w:tcPr>
            <w:tcW w:w="3089" w:type="dxa"/>
          </w:tcPr>
          <w:p w14:paraId="54046823" w14:textId="77777777" w:rsidR="00B175D3" w:rsidRPr="00A069B5" w:rsidRDefault="00B175D3" w:rsidP="005242D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rPr>
            </w:pPr>
            <w:r w:rsidRPr="00A069B5">
              <w:rPr>
                <w:color w:val="000000"/>
              </w:rPr>
              <w:t xml:space="preserve">Jawaban </w:t>
            </w:r>
          </w:p>
        </w:tc>
        <w:tc>
          <w:tcPr>
            <w:tcW w:w="1727" w:type="dxa"/>
          </w:tcPr>
          <w:p w14:paraId="481BEDE4" w14:textId="77777777" w:rsidR="00B175D3" w:rsidRPr="00A069B5" w:rsidRDefault="00B175D3" w:rsidP="005242D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rPr>
            </w:pPr>
            <w:r w:rsidRPr="00A069B5">
              <w:rPr>
                <w:color w:val="000000"/>
              </w:rPr>
              <w:t>Skor</w:t>
            </w:r>
          </w:p>
        </w:tc>
      </w:tr>
      <w:tr w:rsidR="00B175D3" w:rsidRPr="00A069B5" w14:paraId="0BF80FB5" w14:textId="77777777" w:rsidTr="00C81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56852E8" w14:textId="77777777" w:rsidR="00B175D3" w:rsidRPr="00A069B5" w:rsidRDefault="00B175D3" w:rsidP="005242D5">
            <w:pPr>
              <w:autoSpaceDE w:val="0"/>
              <w:autoSpaceDN w:val="0"/>
              <w:adjustRightInd w:val="0"/>
              <w:spacing w:line="360" w:lineRule="auto"/>
              <w:jc w:val="both"/>
              <w:rPr>
                <w:color w:val="000000"/>
              </w:rPr>
            </w:pPr>
            <w:r w:rsidRPr="00A069B5">
              <w:rPr>
                <w:color w:val="000000"/>
              </w:rPr>
              <w:t>1.</w:t>
            </w:r>
          </w:p>
        </w:tc>
        <w:tc>
          <w:tcPr>
            <w:tcW w:w="3089" w:type="dxa"/>
          </w:tcPr>
          <w:p w14:paraId="0E41528B" w14:textId="77777777" w:rsidR="00B175D3" w:rsidRPr="00A069B5" w:rsidRDefault="00B175D3" w:rsidP="005242D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A069B5">
              <w:rPr>
                <w:color w:val="000000"/>
              </w:rPr>
              <w:t>Sangat Valid (SV)</w:t>
            </w:r>
          </w:p>
        </w:tc>
        <w:tc>
          <w:tcPr>
            <w:tcW w:w="1727" w:type="dxa"/>
          </w:tcPr>
          <w:p w14:paraId="7B08642D" w14:textId="77777777" w:rsidR="00B175D3" w:rsidRPr="00A069B5" w:rsidRDefault="00B175D3" w:rsidP="005242D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A069B5">
              <w:rPr>
                <w:color w:val="000000"/>
              </w:rPr>
              <w:t>4</w:t>
            </w:r>
          </w:p>
        </w:tc>
      </w:tr>
      <w:tr w:rsidR="00B175D3" w:rsidRPr="00A069B5" w14:paraId="0CDE86FF" w14:textId="77777777" w:rsidTr="00C81B10">
        <w:tc>
          <w:tcPr>
            <w:cnfStyle w:val="001000000000" w:firstRow="0" w:lastRow="0" w:firstColumn="1" w:lastColumn="0" w:oddVBand="0" w:evenVBand="0" w:oddHBand="0" w:evenHBand="0" w:firstRowFirstColumn="0" w:firstRowLastColumn="0" w:lastRowFirstColumn="0" w:lastRowLastColumn="0"/>
            <w:tcW w:w="938" w:type="dxa"/>
          </w:tcPr>
          <w:p w14:paraId="467F41E2" w14:textId="77777777" w:rsidR="00B175D3" w:rsidRPr="00A069B5" w:rsidRDefault="00B175D3" w:rsidP="005242D5">
            <w:pPr>
              <w:autoSpaceDE w:val="0"/>
              <w:autoSpaceDN w:val="0"/>
              <w:adjustRightInd w:val="0"/>
              <w:spacing w:line="360" w:lineRule="auto"/>
              <w:jc w:val="both"/>
              <w:rPr>
                <w:color w:val="000000"/>
              </w:rPr>
            </w:pPr>
            <w:r w:rsidRPr="00A069B5">
              <w:rPr>
                <w:color w:val="000000"/>
              </w:rPr>
              <w:t>2.</w:t>
            </w:r>
          </w:p>
        </w:tc>
        <w:tc>
          <w:tcPr>
            <w:tcW w:w="3089" w:type="dxa"/>
          </w:tcPr>
          <w:p w14:paraId="1B0F5E9C" w14:textId="77777777" w:rsidR="00B175D3" w:rsidRPr="00A069B5" w:rsidRDefault="00B175D3" w:rsidP="005242D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069B5">
              <w:rPr>
                <w:color w:val="000000"/>
              </w:rPr>
              <w:t>Valid (V)</w:t>
            </w:r>
          </w:p>
        </w:tc>
        <w:tc>
          <w:tcPr>
            <w:tcW w:w="1727" w:type="dxa"/>
          </w:tcPr>
          <w:p w14:paraId="37AD428A" w14:textId="77777777" w:rsidR="00B175D3" w:rsidRPr="00A069B5" w:rsidRDefault="00B175D3" w:rsidP="005242D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069B5">
              <w:rPr>
                <w:color w:val="000000"/>
              </w:rPr>
              <w:t>3</w:t>
            </w:r>
          </w:p>
        </w:tc>
      </w:tr>
      <w:tr w:rsidR="00B175D3" w:rsidRPr="00A069B5" w14:paraId="77FFF7B4" w14:textId="77777777" w:rsidTr="00C81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4FED9677" w14:textId="77777777" w:rsidR="00B175D3" w:rsidRPr="00A069B5" w:rsidRDefault="00B175D3" w:rsidP="005242D5">
            <w:pPr>
              <w:autoSpaceDE w:val="0"/>
              <w:autoSpaceDN w:val="0"/>
              <w:adjustRightInd w:val="0"/>
              <w:spacing w:line="360" w:lineRule="auto"/>
              <w:jc w:val="both"/>
              <w:rPr>
                <w:color w:val="000000"/>
              </w:rPr>
            </w:pPr>
            <w:r w:rsidRPr="00A069B5">
              <w:rPr>
                <w:color w:val="000000"/>
              </w:rPr>
              <w:t>3.</w:t>
            </w:r>
          </w:p>
        </w:tc>
        <w:tc>
          <w:tcPr>
            <w:tcW w:w="3089" w:type="dxa"/>
          </w:tcPr>
          <w:p w14:paraId="68B2250D" w14:textId="77777777" w:rsidR="00B175D3" w:rsidRPr="00A069B5" w:rsidRDefault="00B175D3" w:rsidP="005242D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A069B5">
              <w:rPr>
                <w:color w:val="000000"/>
              </w:rPr>
              <w:t>Kurang Valid (KV)</w:t>
            </w:r>
          </w:p>
        </w:tc>
        <w:tc>
          <w:tcPr>
            <w:tcW w:w="1727" w:type="dxa"/>
          </w:tcPr>
          <w:p w14:paraId="15444B0D" w14:textId="77777777" w:rsidR="00B175D3" w:rsidRPr="00A069B5" w:rsidRDefault="00B175D3" w:rsidP="005242D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A069B5">
              <w:rPr>
                <w:color w:val="000000"/>
              </w:rPr>
              <w:t>2</w:t>
            </w:r>
          </w:p>
        </w:tc>
      </w:tr>
      <w:tr w:rsidR="00B175D3" w:rsidRPr="00A069B5" w14:paraId="68CC285D" w14:textId="77777777" w:rsidTr="00C81B10">
        <w:tc>
          <w:tcPr>
            <w:cnfStyle w:val="001000000000" w:firstRow="0" w:lastRow="0" w:firstColumn="1" w:lastColumn="0" w:oddVBand="0" w:evenVBand="0" w:oddHBand="0" w:evenHBand="0" w:firstRowFirstColumn="0" w:firstRowLastColumn="0" w:lastRowFirstColumn="0" w:lastRowLastColumn="0"/>
            <w:tcW w:w="938" w:type="dxa"/>
          </w:tcPr>
          <w:p w14:paraId="31CEA742" w14:textId="77777777" w:rsidR="00B175D3" w:rsidRPr="00A069B5" w:rsidRDefault="00B175D3" w:rsidP="005242D5">
            <w:pPr>
              <w:autoSpaceDE w:val="0"/>
              <w:autoSpaceDN w:val="0"/>
              <w:adjustRightInd w:val="0"/>
              <w:spacing w:line="360" w:lineRule="auto"/>
              <w:jc w:val="both"/>
              <w:rPr>
                <w:color w:val="000000"/>
              </w:rPr>
            </w:pPr>
            <w:r w:rsidRPr="00A069B5">
              <w:rPr>
                <w:color w:val="000000"/>
              </w:rPr>
              <w:t>4.</w:t>
            </w:r>
          </w:p>
        </w:tc>
        <w:tc>
          <w:tcPr>
            <w:tcW w:w="3089" w:type="dxa"/>
          </w:tcPr>
          <w:p w14:paraId="5FF353FC" w14:textId="77777777" w:rsidR="00B175D3" w:rsidRPr="00A069B5" w:rsidRDefault="00B175D3" w:rsidP="005242D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069B5">
              <w:rPr>
                <w:color w:val="000000"/>
              </w:rPr>
              <w:t>Tidak Valid (TV)</w:t>
            </w:r>
          </w:p>
        </w:tc>
        <w:tc>
          <w:tcPr>
            <w:tcW w:w="1727" w:type="dxa"/>
          </w:tcPr>
          <w:p w14:paraId="14E9CF8E" w14:textId="77777777" w:rsidR="00B175D3" w:rsidRPr="00A069B5" w:rsidRDefault="00B175D3" w:rsidP="005242D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A069B5">
              <w:rPr>
                <w:color w:val="000000"/>
              </w:rPr>
              <w:t>1</w:t>
            </w:r>
          </w:p>
        </w:tc>
      </w:tr>
    </w:tbl>
    <w:p w14:paraId="7B35774F" w14:textId="77777777" w:rsidR="00B175D3" w:rsidRDefault="00B175D3" w:rsidP="005242D5">
      <w:pPr>
        <w:spacing w:line="360" w:lineRule="auto"/>
        <w:ind w:firstLine="720"/>
        <w:jc w:val="both"/>
        <w:rPr>
          <w:rFonts w:ascii="Times New Roman" w:hAnsi="Times New Roman" w:cs="Times New Roman"/>
          <w:sz w:val="24"/>
          <w:szCs w:val="24"/>
        </w:rPr>
      </w:pPr>
    </w:p>
    <w:p w14:paraId="4D2F17BF" w14:textId="77777777" w:rsidR="00B175D3" w:rsidRDefault="00B175D3" w:rsidP="005242D5">
      <w:pPr>
        <w:spacing w:after="0" w:line="360" w:lineRule="auto"/>
        <w:ind w:firstLine="720"/>
        <w:jc w:val="both"/>
        <w:rPr>
          <w:rFonts w:ascii="Times New Roman" w:hAnsi="Times New Roman" w:cs="Times New Roman"/>
          <w:sz w:val="24"/>
          <w:szCs w:val="24"/>
        </w:rPr>
      </w:pPr>
      <w:r w:rsidRPr="005953A3">
        <w:rPr>
          <w:rFonts w:ascii="Times New Roman" w:hAnsi="Times New Roman" w:cs="Times New Roman"/>
          <w:sz w:val="24"/>
          <w:szCs w:val="24"/>
        </w:rPr>
        <w:t>Menghitung presentase skor yang diperoleh pada Instrumen pengumpulan data di analisis dari rumus yang dimodifikasi dari Fauzi dan Sulistyo (dalam Angeli, 2018) sebagai berikut:</w:t>
      </w:r>
    </w:p>
    <w:p w14:paraId="22AED294" w14:textId="77777777" w:rsidR="00B175D3" w:rsidRPr="005953A3" w:rsidRDefault="00B175D3" w:rsidP="005242D5">
      <w:pPr>
        <w:autoSpaceDE w:val="0"/>
        <w:autoSpaceDN w:val="0"/>
        <w:adjustRightInd w:val="0"/>
        <w:spacing w:after="0" w:line="360" w:lineRule="auto"/>
        <w:ind w:left="3544" w:firstLine="720"/>
        <w:jc w:val="both"/>
        <w:rPr>
          <w:rFonts w:ascii="Times New Roman" w:eastAsiaTheme="minorEastAsia" w:hAnsi="Times New Roman" w:cs="Times New Roman"/>
          <w:color w:val="000000"/>
          <w:sz w:val="24"/>
          <w:szCs w:val="24"/>
        </w:rPr>
      </w:pPr>
      <w:r w:rsidRPr="005953A3">
        <w:rPr>
          <w:rFonts w:ascii="Times New Roman" w:eastAsiaTheme="minorEastAsia" w:hAnsi="Times New Roman" w:cs="Times New Roman"/>
          <w:color w:val="000000"/>
          <w:sz w:val="24"/>
          <w:szCs w:val="24"/>
        </w:rPr>
        <w:t xml:space="preserve">Keterangan : </w:t>
      </w:r>
    </w:p>
    <w:p w14:paraId="27D14997" w14:textId="77777777" w:rsidR="00B175D3" w:rsidRPr="005953A3" w:rsidRDefault="00B175D3" w:rsidP="005242D5">
      <w:pPr>
        <w:autoSpaceDE w:val="0"/>
        <w:autoSpaceDN w:val="0"/>
        <w:adjustRightInd w:val="0"/>
        <w:spacing w:after="0" w:line="360" w:lineRule="auto"/>
        <w:ind w:left="3544" w:firstLine="720"/>
        <w:jc w:val="both"/>
        <w:rPr>
          <w:rFonts w:ascii="Times New Roman" w:eastAsiaTheme="minorEastAsia" w:hAnsi="Times New Roman" w:cs="Times New Roman"/>
          <w:color w:val="000000"/>
          <w:sz w:val="24"/>
          <w:szCs w:val="24"/>
        </w:rPr>
      </w:pPr>
      <w:r w:rsidRPr="005953A3">
        <w:rPr>
          <w:rFonts w:eastAsiaTheme="minorEastAsia"/>
          <w:noProof/>
        </w:rPr>
        <mc:AlternateContent>
          <mc:Choice Requires="wps">
            <w:drawing>
              <wp:anchor distT="0" distB="0" distL="114300" distR="114300" simplePos="0" relativeHeight="251659264" behindDoc="0" locked="0" layoutInCell="1" allowOverlap="1" wp14:anchorId="1DB346D6" wp14:editId="01B13E63">
                <wp:simplePos x="0" y="0"/>
                <wp:positionH relativeFrom="column">
                  <wp:posOffset>1007745</wp:posOffset>
                </wp:positionH>
                <wp:positionV relativeFrom="paragraph">
                  <wp:posOffset>9525</wp:posOffset>
                </wp:positionV>
                <wp:extent cx="1350645" cy="659130"/>
                <wp:effectExtent l="0" t="0" r="20955" b="26670"/>
                <wp:wrapSquare wrapText="bothSides"/>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645" cy="659130"/>
                        </a:xfrm>
                        <a:prstGeom prst="rect">
                          <a:avLst/>
                        </a:prstGeom>
                        <a:solidFill>
                          <a:sysClr val="window" lastClr="FFFFFF"/>
                        </a:solidFill>
                        <a:ln w="25400" cap="flat" cmpd="sng" algn="ctr">
                          <a:solidFill>
                            <a:sysClr val="windowText" lastClr="000000"/>
                          </a:solidFill>
                          <a:prstDash val="solid"/>
                        </a:ln>
                        <a:effectLst/>
                      </wps:spPr>
                      <wps:txbx>
                        <w:txbxContent>
                          <w:p w14:paraId="3A23A505" w14:textId="77777777" w:rsidR="00B175D3" w:rsidRPr="00EC7177" w:rsidRDefault="00B175D3" w:rsidP="00B175D3">
                            <w:pPr>
                              <w:pStyle w:val="Default"/>
                              <w:spacing w:line="480" w:lineRule="auto"/>
                              <w:jc w:val="center"/>
                            </w:pPr>
                            <m:oMathPara>
                              <m:oMathParaPr>
                                <m:jc m:val="center"/>
                              </m:oMathParaPr>
                              <m:oMath>
                                <m:r>
                                  <w:rPr>
                                    <w:rFonts w:ascii="Cambria Math" w:hAnsi="Cambria Math"/>
                                  </w:rPr>
                                  <m:t>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nary>
                                      <m:naryPr>
                                        <m:chr m:val="∑"/>
                                        <m:limLoc m:val="undOvr"/>
                                        <m:subHide m:val="1"/>
                                        <m:supHide m:val="1"/>
                                        <m:ctrlPr>
                                          <w:rPr>
                                            <w:rFonts w:ascii="Cambria Math" w:hAnsi="Cambria Math"/>
                                            <w:i/>
                                          </w:rPr>
                                        </m:ctrlPr>
                                      </m:naryPr>
                                      <m:sub/>
                                      <m:sup/>
                                      <m:e>
                                        <m:r>
                                          <w:rPr>
                                            <w:rFonts w:ascii="Cambria Math" w:hAnsi="Cambria Math"/>
                                          </w:rPr>
                                          <m:t>Xi</m:t>
                                        </m:r>
                                      </m:e>
                                    </m:nary>
                                  </m:den>
                                </m:f>
                                <m:r>
                                  <w:rPr>
                                    <w:rFonts w:ascii="Cambria Math" w:hAnsi="Cambria Math"/>
                                  </w:rPr>
                                  <m:t>x100%</m:t>
                                </m:r>
                              </m:oMath>
                            </m:oMathPara>
                          </w:p>
                          <w:p w14:paraId="047E9453" w14:textId="77777777" w:rsidR="00B175D3" w:rsidRDefault="00B175D3" w:rsidP="00B175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left:0;text-align:left;margin-left:79.35pt;margin-top:.75pt;width:106.35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" fillcolor="window" strokecolor="windowText" strokeweight="2pt">
                <v:path arrowok="t"/>
                <v:textbox>
                  <w:txbxContent>
                    <w:p w14:paraId="3A23A505" w14:textId="77777777" w:rsidR="00B175D3" w:rsidRPr="00EC7177" w:rsidRDefault="00B175D3" w:rsidP="00B175D3">
                      <w:pPr>
                        <w:pStyle w:val="Default"/>
                        <w:spacing w:line="480" w:lineRule="auto"/>
                        <w:jc w:val="center"/>
                      </w:pPr>
                      <m:oMathPara>
                        <m:oMathParaPr>
                          <m:jc m:val="center"/>
                        </m:oMathParaPr>
                        <m:oMath>
                          <m:r>
                            <w:rPr>
                              <w:rFonts w:ascii="Cambria Math" w:hAnsi="Cambria Math"/>
                            </w:rPr>
                            <m:t>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nary>
                                <m:naryPr>
                                  <m:chr m:val="∑"/>
                                  <m:limLoc m:val="undOvr"/>
                                  <m:subHide m:val="1"/>
                                  <m:supHide m:val="1"/>
                                  <m:ctrlPr>
                                    <w:rPr>
                                      <w:rFonts w:ascii="Cambria Math" w:hAnsi="Cambria Math"/>
                                      <w:i/>
                                    </w:rPr>
                                  </m:ctrlPr>
                                </m:naryPr>
                                <m:sub/>
                                <m:sup/>
                                <m:e>
                                  <m:r>
                                    <w:rPr>
                                      <w:rFonts w:ascii="Cambria Math" w:hAnsi="Cambria Math"/>
                                    </w:rPr>
                                    <m:t>Xi</m:t>
                                  </m:r>
                                </m:e>
                              </m:nary>
                            </m:den>
                          </m:f>
                          <m:r>
                            <w:rPr>
                              <w:rFonts w:ascii="Cambria Math" w:hAnsi="Cambria Math"/>
                            </w:rPr>
                            <m:t>x100%</m:t>
                          </m:r>
                        </m:oMath>
                      </m:oMathPara>
                    </w:p>
                    <w:p w14:paraId="047E9453" w14:textId="77777777" w:rsidR="00B175D3" w:rsidRDefault="00B175D3" w:rsidP="00B175D3">
                      <w:pPr>
                        <w:jc w:val="center"/>
                      </w:pPr>
                    </w:p>
                  </w:txbxContent>
                </v:textbox>
                <w10:wrap type="square"/>
              </v:rect>
            </w:pict>
          </mc:Fallback>
        </mc:AlternateContent>
      </w:r>
      <w:r>
        <w:rPr>
          <w:rFonts w:ascii="Times New Roman" w:eastAsiaTheme="minorEastAsia" w:hAnsi="Times New Roman" w:cs="Times New Roman"/>
          <w:color w:val="000000"/>
          <w:sz w:val="24"/>
          <w:szCs w:val="24"/>
        </w:rPr>
        <w:t>P</w:t>
      </w:r>
      <w:r>
        <w:rPr>
          <w:rFonts w:ascii="Times New Roman" w:eastAsiaTheme="minorEastAsia" w:hAnsi="Times New Roman" w:cs="Times New Roman"/>
          <w:color w:val="000000"/>
          <w:sz w:val="24"/>
          <w:szCs w:val="24"/>
        </w:rPr>
        <w:tab/>
      </w:r>
      <w:r w:rsidRPr="005953A3">
        <w:rPr>
          <w:rFonts w:ascii="Times New Roman" w:eastAsiaTheme="minorEastAsia" w:hAnsi="Times New Roman" w:cs="Times New Roman"/>
          <w:color w:val="000000"/>
          <w:sz w:val="24"/>
          <w:szCs w:val="24"/>
        </w:rPr>
        <w:t xml:space="preserve">= Presentase </w:t>
      </w:r>
    </w:p>
    <w:p w14:paraId="2300E6D2" w14:textId="77777777" w:rsidR="00B175D3" w:rsidRPr="005953A3" w:rsidRDefault="00B175D3" w:rsidP="005242D5">
      <w:pPr>
        <w:autoSpaceDE w:val="0"/>
        <w:autoSpaceDN w:val="0"/>
        <w:adjustRightInd w:val="0"/>
        <w:spacing w:after="0" w:line="360" w:lineRule="auto"/>
        <w:ind w:left="720"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X</w:t>
      </w:r>
      <w:r>
        <w:rPr>
          <w:rFonts w:ascii="Times New Roman" w:eastAsiaTheme="minorEastAsia" w:hAnsi="Times New Roman" w:cs="Times New Roman"/>
          <w:color w:val="000000"/>
          <w:sz w:val="24"/>
          <w:szCs w:val="24"/>
        </w:rPr>
        <w:tab/>
      </w:r>
      <w:r w:rsidRPr="005953A3">
        <w:rPr>
          <w:rFonts w:ascii="Times New Roman" w:eastAsiaTheme="minorEastAsia" w:hAnsi="Times New Roman" w:cs="Times New Roman"/>
          <w:color w:val="000000"/>
          <w:sz w:val="24"/>
          <w:szCs w:val="24"/>
        </w:rPr>
        <w:t xml:space="preserve">= Skor jawaban per item </w:t>
      </w:r>
    </w:p>
    <w:p w14:paraId="74A3CC45" w14:textId="77777777" w:rsidR="00B175D3" w:rsidRPr="005953A3" w:rsidRDefault="00B175D3" w:rsidP="005242D5">
      <w:pPr>
        <w:autoSpaceDE w:val="0"/>
        <w:autoSpaceDN w:val="0"/>
        <w:adjustRightInd w:val="0"/>
        <w:spacing w:after="0" w:line="360" w:lineRule="auto"/>
        <w:ind w:left="4376" w:firstLine="116"/>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Xi</w:t>
      </w:r>
      <w:r>
        <w:rPr>
          <w:rFonts w:ascii="Times New Roman" w:eastAsiaTheme="minorEastAsia" w:hAnsi="Times New Roman" w:cs="Times New Roman"/>
          <w:color w:val="000000"/>
          <w:sz w:val="24"/>
          <w:szCs w:val="24"/>
        </w:rPr>
        <w:tab/>
        <w:t xml:space="preserve">= Skor total maximal </w:t>
      </w:r>
    </w:p>
    <w:p w14:paraId="4AE065EE" w14:textId="77777777" w:rsidR="00B175D3" w:rsidRDefault="00B175D3" w:rsidP="005242D5">
      <w:pPr>
        <w:spacing w:line="360" w:lineRule="auto"/>
        <w:ind w:left="3772" w:firstLine="720"/>
        <w:jc w:val="both"/>
        <w:rPr>
          <w:rFonts w:ascii="Times New Roman" w:eastAsiaTheme="minorEastAsia" w:hAnsi="Times New Roman" w:cs="Times New Roman"/>
          <w:color w:val="000000"/>
          <w:sz w:val="24"/>
          <w:szCs w:val="24"/>
        </w:rPr>
      </w:pPr>
      <w:r w:rsidRPr="005953A3">
        <w:rPr>
          <w:rFonts w:ascii="Times New Roman" w:eastAsiaTheme="minorEastAsia" w:hAnsi="Times New Roman" w:cs="Times New Roman"/>
          <w:color w:val="000000"/>
          <w:sz w:val="24"/>
          <w:szCs w:val="24"/>
        </w:rPr>
        <w:t>100%</w:t>
      </w:r>
      <w:r>
        <w:rPr>
          <w:rFonts w:ascii="Times New Roman" w:eastAsiaTheme="minorEastAsia" w:hAnsi="Times New Roman" w:cs="Times New Roman"/>
          <w:color w:val="000000"/>
          <w:sz w:val="24"/>
          <w:szCs w:val="24"/>
        </w:rPr>
        <w:tab/>
      </w:r>
      <w:r w:rsidRPr="005953A3">
        <w:rPr>
          <w:rFonts w:ascii="Times New Roman" w:eastAsiaTheme="minorEastAsia" w:hAnsi="Times New Roman" w:cs="Times New Roman"/>
          <w:color w:val="000000"/>
          <w:sz w:val="24"/>
          <w:szCs w:val="24"/>
        </w:rPr>
        <w:t>= Konstanta</w:t>
      </w:r>
    </w:p>
    <w:p w14:paraId="079E4FDF" w14:textId="77777777" w:rsidR="005707DB" w:rsidRPr="00B175D3" w:rsidRDefault="005707DB" w:rsidP="005242D5">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lang w:val="en-US"/>
        </w:rPr>
      </w:pPr>
    </w:p>
    <w:p w14:paraId="5F6AC2F3" w14:textId="21D492EE" w:rsidR="005707DB" w:rsidRDefault="00B175D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HASIL DAN PEMBAHASA</w:t>
      </w:r>
      <w:r>
        <w:rPr>
          <w:rFonts w:ascii="Times New Roman" w:eastAsia="Times New Roman" w:hAnsi="Times New Roman" w:cs="Times New Roman"/>
          <w:b/>
          <w:color w:val="000000"/>
          <w:sz w:val="24"/>
          <w:szCs w:val="24"/>
          <w:lang w:val="en-US"/>
        </w:rPr>
        <w:t>N</w:t>
      </w:r>
    </w:p>
    <w:p w14:paraId="2CDC9824" w14:textId="77777777" w:rsidR="00B175D3" w:rsidRDefault="00B175D3" w:rsidP="005242D5">
      <w:pPr>
        <w:spacing w:after="0" w:line="36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lastRenderedPageBreak/>
        <w:t>Kelayakan bahan ajar materi faktor kelipatan bilangan berbasis pendekatan open-ended untuk menimgkatkan penalaran siswa diperoleh dari hasil validasi media dan materi oleh pakar ahli dan guru kelas IV pada uji coba lapangan. Berikut ini merupakan penjabaran dari hasil pembahasan kelayakan pengembangan bahan ajar:</w:t>
      </w:r>
    </w:p>
    <w:p w14:paraId="25C55713" w14:textId="77777777" w:rsidR="00B175D3" w:rsidRDefault="00B175D3" w:rsidP="005242D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validasi ahli media </w:t>
      </w:r>
    </w:p>
    <w:p w14:paraId="1EAA3E02" w14:textId="77777777" w:rsidR="00B175D3" w:rsidRDefault="00B175D3" w:rsidP="005242D5">
      <w:pPr>
        <w:pStyle w:val="ListParagraph"/>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Tahap analisis validasi media bertujuan untuk mengetahui kelayakan dari pemgembangan bahan ajar sebelum dilakukan uji coba lapangan.</w:t>
      </w:r>
      <w:proofErr w:type="gramEnd"/>
      <w:r>
        <w:rPr>
          <w:rFonts w:ascii="Times New Roman" w:hAnsi="Times New Roman" w:cs="Times New Roman"/>
          <w:sz w:val="24"/>
          <w:szCs w:val="24"/>
        </w:rPr>
        <w:t xml:space="preserve"> Pada tahapan ini terdapat tiga dosen validator ahli media yang memberikan penilaian tentang bahan ajar materi faktor kelipatan bilangan yaitu M. Yusuf W, S.Pd., M.Pd., Filia Prima Artharina, S.Pd., M.Pd., Ikha Listyarini, S.Pd., M.Pd. Hasil validasi media tahap pertama terhadap bahan ajar materi faktor kelipatan bilangan menunjukan presentase 50.25% kualitas produk terletak pada kategori “cukup layak” dan revisi”. </w:t>
      </w:r>
      <w:proofErr w:type="gramStart"/>
      <w:r>
        <w:rPr>
          <w:rFonts w:ascii="Times New Roman" w:hAnsi="Times New Roman" w:cs="Times New Roman"/>
          <w:sz w:val="24"/>
          <w:szCs w:val="24"/>
        </w:rPr>
        <w:t>Pada tahap ini ditemukan, adanya kekurangan pada tahap tampilan media yang kurang sesuai dengan font penulisan bahan 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penulis melakukan revisi perbaikan bahan ajar pada bagian tersebut dan dilanjutkan pada tahap validasi media tahap kedua.</w:t>
      </w:r>
      <w:proofErr w:type="gramEnd"/>
      <w:r>
        <w:rPr>
          <w:rFonts w:ascii="Times New Roman" w:hAnsi="Times New Roman" w:cs="Times New Roman"/>
          <w:sz w:val="24"/>
          <w:szCs w:val="24"/>
        </w:rPr>
        <w:t xml:space="preserve"> </w:t>
      </w:r>
      <w:r w:rsidRPr="00A33DED">
        <w:rPr>
          <w:rFonts w:ascii="Times New Roman" w:hAnsi="Times New Roman" w:cs="Times New Roman"/>
          <w:sz w:val="24"/>
          <w:szCs w:val="24"/>
        </w:rPr>
        <w:t xml:space="preserve">Hasil </w:t>
      </w:r>
      <w:r>
        <w:rPr>
          <w:rFonts w:ascii="Times New Roman" w:hAnsi="Times New Roman" w:cs="Times New Roman"/>
          <w:sz w:val="24"/>
          <w:szCs w:val="24"/>
        </w:rPr>
        <w:t>perolehan nilai v</w:t>
      </w:r>
      <w:r w:rsidRPr="00A33DED">
        <w:rPr>
          <w:rFonts w:ascii="Times New Roman" w:hAnsi="Times New Roman" w:cs="Times New Roman"/>
          <w:sz w:val="24"/>
          <w:szCs w:val="24"/>
        </w:rPr>
        <w:t>alidasi meningkat pada aspek yang meliputi aspek indikator kesesuaian menunjukan presentase kelayakan 95% dengan kriteria “sangat layak” dan tidak revisi” untuk digunakan dalam proses pembelajaran.</w:t>
      </w:r>
    </w:p>
    <w:p w14:paraId="04199EDC" w14:textId="77777777" w:rsidR="00B175D3" w:rsidRDefault="00B175D3" w:rsidP="005242D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Hasil validasi ahli materi</w:t>
      </w:r>
    </w:p>
    <w:p w14:paraId="65F00003" w14:textId="77777777" w:rsidR="00B175D3" w:rsidRDefault="00B175D3" w:rsidP="005242D5">
      <w:pPr>
        <w:pStyle w:val="ListParagraph"/>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Tahap analisis validasi materi bertujuan untuk mengetahui kelayakan dari pemgembangan bahan ajar sebelum dilakukan uji coba lapangan.</w:t>
      </w:r>
      <w:proofErr w:type="gramEnd"/>
      <w:r>
        <w:rPr>
          <w:rFonts w:ascii="Times New Roman" w:hAnsi="Times New Roman" w:cs="Times New Roman"/>
          <w:sz w:val="24"/>
          <w:szCs w:val="24"/>
        </w:rPr>
        <w:t xml:space="preserve"> Pada tahapan ini terdapat tiga dosen validator ahli materi yang memberikan penilaian tentang bahan ajar materi faktor kelipatan bilangan yaitu M. Yusuf W, S.Pd., M.Pd., Filia Prima Artharina, S.Pd., M.Pd., Ikha Listyarini, S.Pd., M.Pd. Hasil validasi materi tahap pertama terhadap bahan ajar materi faktor kelipatan bilangan menunjukan presentase 49.58% kualitas bahan ajar terletak pada kategori “cukup layak” dan “revisi” pada tahap ini ditemukan adanya kekurangan pada Indikator dan Kompetensi Dasar, materi belum berkaitan dengan </w:t>
      </w:r>
      <w:r w:rsidRPr="00B65525">
        <w:rPr>
          <w:rFonts w:ascii="Times New Roman" w:hAnsi="Times New Roman" w:cs="Times New Roman"/>
          <w:i/>
          <w:sz w:val="24"/>
          <w:szCs w:val="24"/>
        </w:rPr>
        <w:t>Open-Ended</w:t>
      </w:r>
      <w:r>
        <w:rPr>
          <w:rFonts w:ascii="Times New Roman" w:hAnsi="Times New Roman" w:cs="Times New Roman"/>
          <w:i/>
          <w:sz w:val="24"/>
          <w:szCs w:val="24"/>
        </w:rPr>
        <w:t xml:space="preserve">, </w:t>
      </w:r>
      <w:r>
        <w:rPr>
          <w:rFonts w:ascii="Times New Roman" w:hAnsi="Times New Roman" w:cs="Times New Roman"/>
          <w:sz w:val="24"/>
          <w:szCs w:val="24"/>
        </w:rPr>
        <w:t>maka penulis melakukan revisi perbaikan bahan ajar pada bagian tersebut dan dilanjutkan pada tahap validasi kedua. Hasil perolehan nilai validasi materi pada tahap kedua menunjukan prsentase kelayakan 92.29% dengan kriteria “sangat layak” dan tidak revisi” untuk digunakan dalam proses pembelajaran.</w:t>
      </w:r>
    </w:p>
    <w:p w14:paraId="433D65BB" w14:textId="77777777" w:rsidR="00B175D3" w:rsidRDefault="00B175D3" w:rsidP="005242D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Hasil angket tanggapan guru</w:t>
      </w:r>
    </w:p>
    <w:p w14:paraId="731572A6" w14:textId="001E22FC" w:rsidR="00B175D3" w:rsidRPr="00B175D3" w:rsidRDefault="00B175D3" w:rsidP="005242D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angket tanggapan guru bertujuan untuk mengetahui diterima atau tidaknya penggunaan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layak dalam kegiatan proses belajar mengajar pada tahap uji coba lapangan. Pengisian tanggapan guru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mengetahui keberterimaan bahan ajar materi faktor kelipatan bilangan dalm proses pembelajaran. </w:t>
      </w:r>
      <w:proofErr w:type="gramStart"/>
      <w:r>
        <w:rPr>
          <w:rFonts w:ascii="Times New Roman" w:hAnsi="Times New Roman" w:cs="Times New Roman"/>
          <w:sz w:val="24"/>
          <w:szCs w:val="24"/>
        </w:rPr>
        <w:t>Tahapan ini dilakukan di SDN Pleburan 03.</w:t>
      </w:r>
      <w:proofErr w:type="gramEnd"/>
      <w:r>
        <w:rPr>
          <w:rFonts w:ascii="Times New Roman" w:hAnsi="Times New Roman" w:cs="Times New Roman"/>
          <w:sz w:val="24"/>
          <w:szCs w:val="24"/>
        </w:rPr>
        <w:t xml:space="preserve"> Hasil penilaian angket tanggapan guru kelas IV terhadap keberterimaan validasi materi bahan ajar materi faktor kelipatan bilangan memperoleh nilai 77.08% yang masuk dalam kategori “layak” dan tanpa revisi” dan rata-rata hasil validasi struktur bahan ajar sebesar 90% masuk dalam kategori “layak” dan tanpa revisi” dapat disimpulkan bahwa bahan ajar materi faktor kelipatan bilangan bisa digunakan dalam pembelajaran untuk meningkatkan kemampuan penalaran siswa kelas IV. </w:t>
      </w:r>
    </w:p>
    <w:p w14:paraId="4D240A67" w14:textId="63744F96" w:rsidR="005707DB" w:rsidRPr="00B175D3" w:rsidRDefault="00B175D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SIMPULAN </w:t>
      </w:r>
    </w:p>
    <w:p w14:paraId="1F81D77D" w14:textId="77777777" w:rsidR="00B175D3" w:rsidRDefault="00B175D3" w:rsidP="005242D5">
      <w:pPr>
        <w:spacing w:after="0" w:line="360" w:lineRule="auto"/>
        <w:ind w:firstLine="720"/>
        <w:jc w:val="both"/>
        <w:rPr>
          <w:rFonts w:ascii="Times New Roman" w:hAnsi="Times New Roman" w:cs="Times New Roman"/>
          <w:sz w:val="24"/>
          <w:szCs w:val="24"/>
        </w:rPr>
      </w:pPr>
      <w:r w:rsidRPr="00F57258">
        <w:rPr>
          <w:rFonts w:ascii="Times New Roman" w:hAnsi="Times New Roman" w:cs="Times New Roman"/>
          <w:sz w:val="24"/>
          <w:szCs w:val="24"/>
        </w:rPr>
        <w:t>Hasil penelitian dan pengembangan Bahan Ajar Materi fak</w:t>
      </w:r>
      <w:r>
        <w:rPr>
          <w:rFonts w:ascii="Times New Roman" w:hAnsi="Times New Roman" w:cs="Times New Roman"/>
          <w:sz w:val="24"/>
          <w:szCs w:val="24"/>
        </w:rPr>
        <w:t>tor kelipatan bilangan Kelas IV</w:t>
      </w:r>
      <w:r w:rsidRPr="00F57258">
        <w:rPr>
          <w:rFonts w:ascii="Times New Roman" w:hAnsi="Times New Roman" w:cs="Times New Roman"/>
          <w:sz w:val="24"/>
          <w:szCs w:val="24"/>
        </w:rPr>
        <w:t>, diperkuat dengan hasil validasi materi tahap 1 diperoleh hasil 49.58% dengan kategori “cukup layak” dan “perlu direvisi</w:t>
      </w:r>
      <w:r>
        <w:rPr>
          <w:rFonts w:ascii="Times New Roman" w:hAnsi="Times New Roman" w:cs="Times New Roman"/>
          <w:sz w:val="24"/>
          <w:szCs w:val="24"/>
        </w:rPr>
        <w:t xml:space="preserve">” </w:t>
      </w:r>
      <w:r w:rsidRPr="00F57258">
        <w:rPr>
          <w:rFonts w:ascii="Times New Roman" w:hAnsi="Times New Roman" w:cs="Times New Roman"/>
          <w:sz w:val="24"/>
          <w:szCs w:val="24"/>
        </w:rPr>
        <w:t>lalu pada validasi tahap 2 mengalami peningkatan dan diper</w:t>
      </w:r>
      <w:r>
        <w:rPr>
          <w:rFonts w:ascii="Times New Roman" w:hAnsi="Times New Roman" w:cs="Times New Roman"/>
          <w:sz w:val="24"/>
          <w:szCs w:val="24"/>
        </w:rPr>
        <w:t xml:space="preserve">oleh hasil 92.29% </w:t>
      </w:r>
      <w:r w:rsidRPr="00F57258">
        <w:rPr>
          <w:rFonts w:ascii="Times New Roman" w:hAnsi="Times New Roman" w:cs="Times New Roman"/>
          <w:sz w:val="24"/>
          <w:szCs w:val="24"/>
        </w:rPr>
        <w:t xml:space="preserve">dalam kategori “sangat layak” dan “tanpa revisi”. validasi media tahap 1 diperoleh hasil 50.25% dengan kategori “cukup layak” dan “direvisi”, dan pada validasi tahap 2 mengalami peningkatan </w:t>
      </w:r>
      <w:r>
        <w:rPr>
          <w:rFonts w:ascii="Times New Roman" w:hAnsi="Times New Roman" w:cs="Times New Roman"/>
          <w:sz w:val="24"/>
          <w:szCs w:val="24"/>
        </w:rPr>
        <w:t xml:space="preserve">hasil 95% </w:t>
      </w:r>
      <w:r w:rsidRPr="00F57258">
        <w:rPr>
          <w:rFonts w:ascii="Times New Roman" w:hAnsi="Times New Roman" w:cs="Times New Roman"/>
          <w:sz w:val="24"/>
          <w:szCs w:val="24"/>
        </w:rPr>
        <w:t>kategori “sangat layak” dan “tanpa revisi”. Hasil ujicoba lapangan terhadap guru k</w:t>
      </w:r>
      <w:r>
        <w:rPr>
          <w:rFonts w:ascii="Times New Roman" w:hAnsi="Times New Roman" w:cs="Times New Roman"/>
          <w:sz w:val="24"/>
          <w:szCs w:val="24"/>
        </w:rPr>
        <w:t xml:space="preserve">elas tinggi di SDN Pleburan 03 </w:t>
      </w:r>
      <w:r w:rsidRPr="00F57258">
        <w:rPr>
          <w:rFonts w:ascii="Times New Roman" w:hAnsi="Times New Roman" w:cs="Times New Roman"/>
          <w:sz w:val="24"/>
          <w:szCs w:val="24"/>
        </w:rPr>
        <w:t xml:space="preserve"> memperlihatkan rata-rata angket isi yaitu 77.08% masuk dalam kategori “Layak” dan “Tanpa Revisi” dan rata-rata hasil validitas struktur bahan ajar sebesar 90% masuk dalam kategori “Sangat Layak” dan “Tanpa Revisi”. Dari data tersebut dapat disimpulkan bahwa Bahan Ajar Materi Faktor Kelipatan Bilangan Berbasis Pendekatan </w:t>
      </w:r>
      <w:r w:rsidRPr="000F5E32">
        <w:rPr>
          <w:rFonts w:ascii="Times New Roman" w:hAnsi="Times New Roman" w:cs="Times New Roman"/>
          <w:i/>
          <w:sz w:val="24"/>
          <w:szCs w:val="24"/>
        </w:rPr>
        <w:t>Open-ended</w:t>
      </w:r>
      <w:r w:rsidRPr="00F57258">
        <w:rPr>
          <w:rFonts w:ascii="Times New Roman" w:hAnsi="Times New Roman" w:cs="Times New Roman"/>
          <w:sz w:val="24"/>
          <w:szCs w:val="24"/>
        </w:rPr>
        <w:t xml:space="preserve"> bisa digunakan dalam pembelajaran untuk meningkatkan kemampuan penalaran siswa kelas IV.</w:t>
      </w:r>
    </w:p>
    <w:p w14:paraId="260A5624" w14:textId="1F30C9D5" w:rsidR="00B175D3" w:rsidRPr="00B175D3" w:rsidRDefault="00B175D3" w:rsidP="005242D5">
      <w:pPr>
        <w:tabs>
          <w:tab w:val="left" w:pos="2897"/>
        </w:tabs>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b/>
      </w:r>
    </w:p>
    <w:p w14:paraId="48D8A08C" w14:textId="77777777"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DAFTAR PUSTAKA</w:t>
      </w:r>
    </w:p>
    <w:p w14:paraId="04F71FFA" w14:textId="77777777" w:rsidR="00B175D3" w:rsidRDefault="00B175D3" w:rsidP="005242D5">
      <w:pPr>
        <w:pStyle w:val="Default"/>
        <w:spacing w:line="360" w:lineRule="auto"/>
        <w:ind w:left="851" w:hanging="851"/>
        <w:jc w:val="both"/>
      </w:pPr>
      <w:r w:rsidRPr="00D516D0">
        <w:t xml:space="preserve">Angeli, Airinisaa </w:t>
      </w:r>
      <w:proofErr w:type="gramStart"/>
      <w:r w:rsidRPr="00D516D0">
        <w:t>Bella .</w:t>
      </w:r>
      <w:proofErr w:type="gramEnd"/>
      <w:r w:rsidRPr="00D516D0">
        <w:t xml:space="preserve"> 2018. </w:t>
      </w:r>
      <w:proofErr w:type="gramStart"/>
      <w:r w:rsidRPr="00D516D0">
        <w:t>“ Pengembangan</w:t>
      </w:r>
      <w:proofErr w:type="gramEnd"/>
      <w:r w:rsidRPr="00D516D0">
        <w:t xml:space="preserve"> Modul Pembelajaran Sains Berbasis Hands On Activity Materi Sistem Pernapasan pada Siswa Kelas VIII SMP/MTS.” </w:t>
      </w:r>
      <w:proofErr w:type="gramStart"/>
      <w:r w:rsidRPr="00D516D0">
        <w:t>Undergraduate (S1) thesis, University of Muhammadiyah Malang.</w:t>
      </w:r>
      <w:proofErr w:type="gramEnd"/>
    </w:p>
    <w:p w14:paraId="17925F5D" w14:textId="77777777" w:rsidR="00B175D3" w:rsidRPr="00D516D0" w:rsidRDefault="00B175D3" w:rsidP="005242D5">
      <w:pPr>
        <w:pStyle w:val="Default"/>
        <w:spacing w:line="360" w:lineRule="auto"/>
        <w:ind w:left="851" w:hanging="851"/>
        <w:jc w:val="both"/>
      </w:pPr>
      <w:proofErr w:type="gramStart"/>
      <w:r w:rsidRPr="00D516D0">
        <w:t>Borg, W.R. &amp; Gall, M.D. Gall.</w:t>
      </w:r>
      <w:proofErr w:type="gramEnd"/>
      <w:r w:rsidRPr="00D516D0">
        <w:t xml:space="preserve"> (1983). Educational Research: An Introduction, Fifth Edition. New York: Longman</w:t>
      </w:r>
    </w:p>
    <w:p w14:paraId="65612655" w14:textId="77777777" w:rsidR="00B175D3" w:rsidRDefault="00B175D3" w:rsidP="005242D5">
      <w:pPr>
        <w:pStyle w:val="Default"/>
        <w:spacing w:line="360" w:lineRule="auto"/>
        <w:ind w:left="851" w:hanging="851"/>
        <w:jc w:val="both"/>
      </w:pPr>
      <w:proofErr w:type="gramStart"/>
      <w:r>
        <w:t>Depdiknas .2003.</w:t>
      </w:r>
      <w:proofErr w:type="gramEnd"/>
      <w:r>
        <w:t xml:space="preserve"> </w:t>
      </w:r>
      <w:proofErr w:type="gramStart"/>
      <w:r>
        <w:t>Undang-undang RI No.20 tahun 2003.tentang sistem pendidikan nasional.</w:t>
      </w:r>
      <w:proofErr w:type="gramEnd"/>
    </w:p>
    <w:p w14:paraId="5B0889E2" w14:textId="77777777" w:rsidR="00B175D3" w:rsidRDefault="00B175D3" w:rsidP="005242D5">
      <w:pPr>
        <w:pStyle w:val="Default"/>
        <w:spacing w:line="360" w:lineRule="auto"/>
        <w:ind w:left="851" w:hanging="851"/>
        <w:jc w:val="both"/>
      </w:pPr>
      <w:r>
        <w:lastRenderedPageBreak/>
        <w:t xml:space="preserve">Hadi, Sutarto. 2017. </w:t>
      </w:r>
      <w:r w:rsidRPr="00EE2CC4">
        <w:rPr>
          <w:i/>
        </w:rPr>
        <w:t>Pendidikan Matematika Realistik, Teori, Pengembangan, dan Implementasinya</w:t>
      </w:r>
      <w:r>
        <w:t>. Jakarta: PT RajaGrafindo Persada</w:t>
      </w:r>
    </w:p>
    <w:p w14:paraId="719E785E" w14:textId="77777777" w:rsidR="00B175D3" w:rsidRDefault="00B175D3" w:rsidP="005242D5">
      <w:pPr>
        <w:pStyle w:val="Default"/>
        <w:spacing w:line="360" w:lineRule="auto"/>
        <w:ind w:left="900" w:hanging="851"/>
        <w:jc w:val="both"/>
        <w:rPr>
          <w:bCs/>
        </w:rPr>
      </w:pPr>
      <w:proofErr w:type="gramStart"/>
      <w:r w:rsidRPr="00D516D0">
        <w:rPr>
          <w:bCs/>
        </w:rPr>
        <w:t>NCTM.</w:t>
      </w:r>
      <w:proofErr w:type="gramEnd"/>
      <w:r w:rsidRPr="00D516D0">
        <w:rPr>
          <w:bCs/>
        </w:rPr>
        <w:t xml:space="preserve"> (1989). 1989 Curriculum &amp; Evaluation (</w:t>
      </w:r>
      <w:proofErr w:type="gramStart"/>
      <w:r w:rsidRPr="00D516D0">
        <w:rPr>
          <w:bCs/>
        </w:rPr>
        <w:t>Evaluation :</w:t>
      </w:r>
      <w:proofErr w:type="gramEnd"/>
      <w:r w:rsidRPr="00D516D0">
        <w:rPr>
          <w:bCs/>
        </w:rPr>
        <w:t xml:space="preserve"> Standard 10 – Mathematical Disposition).http://www.fayar.net/east/teacher.web/math/Standards/previous/CurrEvStds/evals10.htm. 19 Februari 2016</w:t>
      </w:r>
    </w:p>
    <w:p w14:paraId="677CA31C" w14:textId="77777777" w:rsidR="00B175D3" w:rsidRDefault="00B175D3" w:rsidP="005242D5">
      <w:pPr>
        <w:pStyle w:val="Default"/>
        <w:spacing w:line="360" w:lineRule="auto"/>
        <w:ind w:left="900" w:hanging="851"/>
        <w:jc w:val="both"/>
        <w:rPr>
          <w:bCs/>
        </w:rPr>
      </w:pPr>
      <w:proofErr w:type="gramStart"/>
      <w:r>
        <w:t>Nurhayati, Siti dkk.</w:t>
      </w:r>
      <w:proofErr w:type="gramEnd"/>
      <w:r>
        <w:t xml:space="preserve"> 2017. “</w:t>
      </w:r>
      <w:r w:rsidRPr="00DF0244">
        <w:rPr>
          <w:bCs/>
          <w:i/>
        </w:rPr>
        <w:t xml:space="preserve">Pengembangan Bahan </w:t>
      </w:r>
      <w:proofErr w:type="gramStart"/>
      <w:r w:rsidRPr="00DF0244">
        <w:rPr>
          <w:bCs/>
          <w:i/>
        </w:rPr>
        <w:t>Ajar</w:t>
      </w:r>
      <w:proofErr w:type="gramEnd"/>
      <w:r w:rsidRPr="00DF0244">
        <w:rPr>
          <w:bCs/>
          <w:i/>
        </w:rPr>
        <w:t xml:space="preserve"> Matematika Berbasis Masalah Untuk Memfasilitasi Pencapaian Kemampuan Penalaran Pada Pokok Bahasan Perbandingan Kelas VII MTSN Model Makassar</w:t>
      </w:r>
      <w:r>
        <w:rPr>
          <w:bCs/>
        </w:rPr>
        <w:t xml:space="preserve">”. </w:t>
      </w:r>
      <w:r w:rsidRPr="000E714D">
        <w:rPr>
          <w:bCs/>
          <w:i/>
        </w:rPr>
        <w:t>MaPan: Jurnal Matematika dan Pembelajaran</w:t>
      </w:r>
      <w:r>
        <w:rPr>
          <w:bCs/>
        </w:rPr>
        <w:t xml:space="preserve">. </w:t>
      </w:r>
      <w:proofErr w:type="gramStart"/>
      <w:r>
        <w:rPr>
          <w:bCs/>
        </w:rPr>
        <w:t>Vol 5.</w:t>
      </w:r>
      <w:proofErr w:type="gramEnd"/>
      <w:r>
        <w:rPr>
          <w:bCs/>
        </w:rPr>
        <w:t xml:space="preserve"> </w:t>
      </w:r>
      <w:proofErr w:type="gramStart"/>
      <w:r>
        <w:rPr>
          <w:bCs/>
        </w:rPr>
        <w:t>No.2.</w:t>
      </w:r>
      <w:proofErr w:type="gramEnd"/>
    </w:p>
    <w:p w14:paraId="338A57D8" w14:textId="77777777" w:rsidR="00B175D3" w:rsidRDefault="00B175D3" w:rsidP="005242D5">
      <w:pPr>
        <w:pStyle w:val="Default"/>
        <w:spacing w:line="360" w:lineRule="auto"/>
        <w:ind w:left="900" w:hanging="851"/>
        <w:jc w:val="both"/>
        <w:rPr>
          <w:bCs/>
        </w:rPr>
      </w:pPr>
      <w:r w:rsidRPr="0035611D">
        <w:rPr>
          <w:bCs/>
        </w:rPr>
        <w:t xml:space="preserve">Panchal, C. 2013. </w:t>
      </w:r>
      <w:proofErr w:type="gramStart"/>
      <w:r w:rsidRPr="0035611D">
        <w:rPr>
          <w:bCs/>
        </w:rPr>
        <w:t>“</w:t>
      </w:r>
      <w:r w:rsidRPr="0035611D">
        <w:rPr>
          <w:bCs/>
          <w:i/>
        </w:rPr>
        <w:t>A Study of Abstract Reasoning of the Students of Standard IX of Ahmedabad City”.</w:t>
      </w:r>
      <w:proofErr w:type="gramEnd"/>
      <w:r w:rsidRPr="0035611D">
        <w:rPr>
          <w:bCs/>
        </w:rPr>
        <w:t xml:space="preserve"> International Journal for Research In Education, Vol. 2, Issue</w:t>
      </w:r>
      <w:proofErr w:type="gramStart"/>
      <w:r w:rsidRPr="0035611D">
        <w:rPr>
          <w:bCs/>
        </w:rPr>
        <w:t>:3</w:t>
      </w:r>
      <w:proofErr w:type="gramEnd"/>
      <w:r w:rsidRPr="0035611D">
        <w:rPr>
          <w:bCs/>
        </w:rPr>
        <w:t>, ISSN: 2320-091.</w:t>
      </w:r>
    </w:p>
    <w:p w14:paraId="5D58B7CF" w14:textId="77777777" w:rsidR="00B175D3" w:rsidRPr="009B7D3C" w:rsidRDefault="00B175D3" w:rsidP="005242D5">
      <w:pPr>
        <w:spacing w:after="0" w:line="360" w:lineRule="auto"/>
        <w:contextualSpacing/>
        <w:jc w:val="both"/>
        <w:rPr>
          <w:rFonts w:ascii="Times New Roman" w:eastAsiaTheme="minorEastAsia" w:hAnsi="Times New Roman" w:cs="Times New Roman"/>
          <w:sz w:val="24"/>
          <w:szCs w:val="24"/>
        </w:rPr>
      </w:pPr>
      <w:r w:rsidRPr="009B7D3C">
        <w:rPr>
          <w:rFonts w:ascii="Times New Roman" w:hAnsi="Times New Roman" w:cs="Times New Roman"/>
          <w:sz w:val="24"/>
          <w:szCs w:val="24"/>
        </w:rPr>
        <w:t xml:space="preserve">Soegeng, A.Y. 2016. </w:t>
      </w:r>
      <w:r w:rsidRPr="009B7D3C">
        <w:rPr>
          <w:rFonts w:ascii="Times New Roman" w:hAnsi="Times New Roman" w:cs="Times New Roman"/>
          <w:i/>
          <w:sz w:val="24"/>
          <w:szCs w:val="24"/>
        </w:rPr>
        <w:t>Landasan Kependidikan</w:t>
      </w:r>
      <w:r w:rsidRPr="009B7D3C">
        <w:rPr>
          <w:rFonts w:ascii="Times New Roman" w:hAnsi="Times New Roman" w:cs="Times New Roman"/>
          <w:sz w:val="24"/>
          <w:szCs w:val="24"/>
        </w:rPr>
        <w:t>. Yogyakarta: Magnum Pustaka Utama</w:t>
      </w:r>
    </w:p>
    <w:p w14:paraId="2F905ED6" w14:textId="77777777" w:rsidR="00B175D3" w:rsidRDefault="00B175D3" w:rsidP="005242D5">
      <w:pPr>
        <w:pStyle w:val="Default"/>
        <w:spacing w:line="360" w:lineRule="auto"/>
        <w:ind w:left="851" w:hanging="851"/>
        <w:jc w:val="both"/>
        <w:rPr>
          <w:bCs/>
        </w:rPr>
      </w:pPr>
      <w:proofErr w:type="gramStart"/>
      <w:r>
        <w:t>Sulianto, Joko dkk.</w:t>
      </w:r>
      <w:proofErr w:type="gramEnd"/>
      <w:r>
        <w:t xml:space="preserve"> 2020. “</w:t>
      </w:r>
      <w:r w:rsidRPr="00D53DCB">
        <w:rPr>
          <w:bCs/>
        </w:rPr>
        <w:t xml:space="preserve">An Analysis of Primary School Teachers Characters Learning Process on Teaching Model Development Named </w:t>
      </w:r>
      <w:r w:rsidRPr="00D53DCB">
        <w:rPr>
          <w:bCs/>
          <w:i/>
          <w:iCs/>
        </w:rPr>
        <w:t xml:space="preserve">Open Ended Approach-based Advance Organizer </w:t>
      </w:r>
      <w:r>
        <w:rPr>
          <w:bCs/>
        </w:rPr>
        <w:t>on Students Reasoning Skill.”</w:t>
      </w:r>
      <w:r w:rsidRPr="00083756">
        <w:t xml:space="preserve"> </w:t>
      </w:r>
      <w:r w:rsidRPr="00EE1670">
        <w:rPr>
          <w:bCs/>
          <w:i/>
        </w:rPr>
        <w:t>Universal Journal of Educational Research 8(3D)</w:t>
      </w:r>
      <w:r>
        <w:rPr>
          <w:bCs/>
        </w:rPr>
        <w:t>: 60-66.</w:t>
      </w:r>
    </w:p>
    <w:p w14:paraId="5092FB07" w14:textId="77777777" w:rsidR="00B175D3" w:rsidRDefault="00B175D3" w:rsidP="005242D5">
      <w:pPr>
        <w:pStyle w:val="Default"/>
        <w:spacing w:after="240" w:line="360" w:lineRule="auto"/>
        <w:ind w:left="900" w:hanging="851"/>
        <w:jc w:val="both"/>
        <w:rPr>
          <w:bCs/>
        </w:rPr>
      </w:pPr>
      <w:r>
        <w:t>Wijaya, Handri. 2016. “</w:t>
      </w:r>
      <w:r w:rsidRPr="00D53DCB">
        <w:rPr>
          <w:bCs/>
        </w:rPr>
        <w:t>P</w:t>
      </w:r>
      <w:r>
        <w:rPr>
          <w:bCs/>
        </w:rPr>
        <w:t>eningkatan Kemampuan Penalaran d</w:t>
      </w:r>
      <w:r w:rsidRPr="00D53DCB">
        <w:rPr>
          <w:bCs/>
        </w:rPr>
        <w:t>an Representasi Siswa</w:t>
      </w:r>
      <w:r>
        <w:rPr>
          <w:bCs/>
        </w:rPr>
        <w:t xml:space="preserve"> </w:t>
      </w:r>
      <w:r w:rsidRPr="00D53DCB">
        <w:rPr>
          <w:bCs/>
        </w:rPr>
        <w:t>Melal</w:t>
      </w:r>
      <w:r>
        <w:rPr>
          <w:bCs/>
        </w:rPr>
        <w:t xml:space="preserve">ui Pembelajaran Pendekatan </w:t>
      </w:r>
      <w:r w:rsidRPr="00B92C42">
        <w:rPr>
          <w:bCs/>
          <w:i/>
        </w:rPr>
        <w:t>Open-Ended</w:t>
      </w:r>
      <w:r>
        <w:rPr>
          <w:bCs/>
        </w:rPr>
        <w:t xml:space="preserve">.”  </w:t>
      </w:r>
      <w:proofErr w:type="gramStart"/>
      <w:r w:rsidRPr="00B92C42">
        <w:rPr>
          <w:bCs/>
          <w:i/>
        </w:rPr>
        <w:t>Didaktik :</w:t>
      </w:r>
      <w:proofErr w:type="gramEnd"/>
      <w:r w:rsidRPr="00B92C42">
        <w:rPr>
          <w:bCs/>
          <w:i/>
        </w:rPr>
        <w:t xml:space="preserve"> Jurnal Pendidikan Guru Sekolah Dasar</w:t>
      </w:r>
      <w:r>
        <w:rPr>
          <w:bCs/>
        </w:rPr>
        <w:t xml:space="preserve">. </w:t>
      </w:r>
      <w:r w:rsidRPr="00D53DCB">
        <w:rPr>
          <w:bCs/>
        </w:rPr>
        <w:t>Volume II</w:t>
      </w:r>
      <w:r>
        <w:rPr>
          <w:bCs/>
        </w:rPr>
        <w:t>,</w:t>
      </w:r>
      <w:r w:rsidRPr="00D53DCB">
        <w:rPr>
          <w:bCs/>
        </w:rPr>
        <w:t xml:space="preserve"> Nomor 1</w:t>
      </w:r>
    </w:p>
    <w:p w14:paraId="31B519BB" w14:textId="77777777" w:rsidR="00B175D3" w:rsidRPr="00C137BC" w:rsidRDefault="00B175D3" w:rsidP="00B175D3">
      <w:pPr>
        <w:pStyle w:val="Default"/>
        <w:ind w:left="851" w:hanging="851"/>
        <w:jc w:val="both"/>
      </w:pPr>
    </w:p>
    <w:p w14:paraId="0BA8DAC7" w14:textId="77777777" w:rsidR="00B175D3" w:rsidRDefault="00B175D3" w:rsidP="00B175D3">
      <w:pPr>
        <w:pStyle w:val="Default"/>
        <w:spacing w:after="240"/>
        <w:jc w:val="both"/>
        <w:rPr>
          <w:bCs/>
        </w:rPr>
      </w:pPr>
    </w:p>
    <w:p w14:paraId="67DDAE7A" w14:textId="77777777" w:rsidR="00B175D3" w:rsidRDefault="00B175D3" w:rsidP="00B175D3">
      <w:pPr>
        <w:pStyle w:val="Default"/>
        <w:spacing w:after="240"/>
        <w:jc w:val="both"/>
        <w:rPr>
          <w:bCs/>
        </w:rPr>
      </w:pPr>
    </w:p>
    <w:p w14:paraId="2DBBB145" w14:textId="77777777" w:rsidR="00B175D3" w:rsidRPr="00B175D3" w:rsidRDefault="00B175D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p>
    <w:p w14:paraId="59DC981F"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b/>
        </w:rPr>
        <w:t>Panjang artikel antara 10 - 15 halaman</w:t>
      </w:r>
    </w:p>
    <w:p w14:paraId="7EC4CC74" w14:textId="77777777" w:rsidR="005707DB" w:rsidRDefault="005707DB">
      <w:pPr>
        <w:spacing w:after="0" w:line="240" w:lineRule="auto"/>
        <w:jc w:val="both"/>
        <w:rPr>
          <w:rFonts w:ascii="Times New Roman" w:eastAsia="Times New Roman" w:hAnsi="Times New Roman" w:cs="Times New Roman"/>
        </w:rPr>
      </w:pPr>
    </w:p>
    <w:p w14:paraId="5EE46D42" w14:textId="77777777" w:rsidR="005707DB" w:rsidRDefault="005707DB">
      <w:pPr>
        <w:spacing w:after="0" w:line="240" w:lineRule="auto"/>
        <w:jc w:val="both"/>
        <w:rPr>
          <w:rFonts w:ascii="Times New Roman" w:eastAsia="Times New Roman" w:hAnsi="Times New Roman" w:cs="Times New Roman"/>
        </w:rPr>
        <w:sectPr w:rsidR="005707DB">
          <w:type w:val="continuous"/>
          <w:pgSz w:w="11907" w:h="16840"/>
          <w:pgMar w:top="1418" w:right="1418" w:bottom="1418" w:left="1418" w:header="851" w:footer="454" w:gutter="0"/>
          <w:cols w:space="720"/>
        </w:sectPr>
      </w:pPr>
    </w:p>
    <w:p w14:paraId="7C406533" w14:textId="77777777" w:rsidR="005707DB" w:rsidRDefault="005707DB">
      <w:pPr>
        <w:tabs>
          <w:tab w:val="left" w:pos="5340"/>
        </w:tabs>
        <w:rPr>
          <w:rFonts w:ascii="Times New Roman" w:eastAsia="Times New Roman" w:hAnsi="Times New Roman" w:cs="Times New Roman"/>
        </w:rPr>
      </w:pPr>
    </w:p>
    <w:sectPr w:rsidR="005707DB">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EC86D" w14:textId="77777777" w:rsidR="004B2B45" w:rsidRDefault="004B2B45">
      <w:pPr>
        <w:spacing w:after="0" w:line="240" w:lineRule="auto"/>
      </w:pPr>
      <w:r>
        <w:separator/>
      </w:r>
    </w:p>
  </w:endnote>
  <w:endnote w:type="continuationSeparator" w:id="0">
    <w:p w14:paraId="5674EB45" w14:textId="77777777" w:rsidR="004B2B45" w:rsidRDefault="004B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CC05" w14:textId="2005C1A9" w:rsidR="005707DB" w:rsidRDefault="005620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w:t>
    </w:r>
    <w:r w:rsidR="00EF4A43">
      <w:rPr>
        <w:rFonts w:ascii="Times New Roman" w:eastAsia="Times New Roman" w:hAnsi="Times New Roman" w:cs="Times New Roman"/>
        <w:color w:val="000000"/>
        <w:sz w:val="20"/>
        <w:szCs w:val="20"/>
        <w:lang w:val="en-US"/>
      </w:rPr>
      <w:t xml:space="preserve"> 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5D7DCBC2" w14:textId="77777777" w:rsidR="005707DB" w:rsidRDefault="005620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596317">
      <w:rPr>
        <w:noProof/>
        <w:color w:val="000000"/>
      </w:rPr>
      <w:t>2</w:t>
    </w:r>
    <w:r>
      <w:rPr>
        <w:color w:val="000000"/>
      </w:rPr>
      <w:fldChar w:fldCharType="end"/>
    </w:r>
  </w:p>
  <w:p w14:paraId="3DFEB9B4" w14:textId="77777777" w:rsidR="005707DB" w:rsidRDefault="005707DB">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477B" w14:textId="2DC95670" w:rsidR="005707DB" w:rsidRDefault="005620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 xml:space="preserve">. </w:t>
    </w:r>
    <w:r w:rsidR="00EF4A43">
      <w:rPr>
        <w:rFonts w:ascii="Times New Roman" w:eastAsia="Times New Roman" w:hAnsi="Times New Roman" w:cs="Times New Roman"/>
        <w:color w:val="000000"/>
        <w:sz w:val="20"/>
        <w:szCs w:val="20"/>
        <w:lang w:val="en-US"/>
      </w:rPr>
      <w:t>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7AFD032F" w14:textId="31D3E8CD" w:rsidR="005707DB" w:rsidRDefault="005620F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596317">
      <w:rPr>
        <w:noProof/>
        <w:color w:val="000000"/>
      </w:rPr>
      <w:t>3</w:t>
    </w:r>
    <w:r>
      <w:rPr>
        <w:color w:val="000000"/>
      </w:rPr>
      <w:fldChar w:fldCharType="end"/>
    </w:r>
    <w:r>
      <w:rPr>
        <w:color w:val="000000"/>
      </w:rPr>
      <w:t xml:space="preserve">  </w:t>
    </w:r>
  </w:p>
  <w:p w14:paraId="5770298B" w14:textId="77777777" w:rsidR="005707DB" w:rsidRDefault="005707DB">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18F6" w14:textId="77777777" w:rsidR="005707DB" w:rsidRDefault="005620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96317">
      <w:rPr>
        <w:noProof/>
        <w:color w:val="000000"/>
      </w:rPr>
      <w:t>1</w:t>
    </w:r>
    <w:r>
      <w:rPr>
        <w:color w:val="000000"/>
      </w:rPr>
      <w:fldChar w:fldCharType="end"/>
    </w:r>
  </w:p>
  <w:p w14:paraId="4FAA5B20" w14:textId="77777777" w:rsidR="005707DB" w:rsidRDefault="005707D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9B844" w14:textId="77777777" w:rsidR="004B2B45" w:rsidRDefault="004B2B45">
      <w:pPr>
        <w:spacing w:after="0" w:line="240" w:lineRule="auto"/>
      </w:pPr>
      <w:r>
        <w:separator/>
      </w:r>
    </w:p>
  </w:footnote>
  <w:footnote w:type="continuationSeparator" w:id="0">
    <w:p w14:paraId="7F6C63DC" w14:textId="77777777" w:rsidR="004B2B45" w:rsidRDefault="004B2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C2B8" w14:textId="77777777" w:rsidR="005242D5" w:rsidRPr="005242D5" w:rsidRDefault="00EF4A43" w:rsidP="005242D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sz w:val="20"/>
        <w:szCs w:val="20"/>
        <w:lang w:val="en-US"/>
      </w:rPr>
      <w:t>Wawasan Pendidikan</w:t>
    </w:r>
    <w:r w:rsidR="005620F0">
      <w:rPr>
        <w:rFonts w:ascii="Times New Roman" w:eastAsia="Times New Roman" w:hAnsi="Times New Roman" w:cs="Times New Roman"/>
        <w:b/>
        <w:sz w:val="20"/>
        <w:szCs w:val="20"/>
      </w:rPr>
      <w:t>.</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(1)</w:t>
    </w:r>
    <w:r w:rsidR="005620F0">
      <w:rPr>
        <w:rFonts w:ascii="Times New Roman" w:eastAsia="Times New Roman" w:hAnsi="Times New Roman" w:cs="Times New Roman"/>
        <w:b/>
        <w:sz w:val="20"/>
        <w:szCs w:val="20"/>
        <w:highlight w:val="yellow"/>
      </w:rPr>
      <w:t>.</w:t>
    </w:r>
    <w:r w:rsidR="005620F0">
      <w:rPr>
        <w:rFonts w:ascii="Times New Roman" w:eastAsia="Times New Roman" w:hAnsi="Times New Roman" w:cs="Times New Roman"/>
        <w:b/>
        <w:color w:val="000000"/>
        <w:sz w:val="20"/>
        <w:szCs w:val="20"/>
        <w:highlight w:val="yellow"/>
      </w:rPr>
      <w:t xml:space="preserve"> </w:t>
    </w:r>
    <w:r w:rsidR="00947831">
      <w:rPr>
        <w:rFonts w:ascii="Times New Roman" w:eastAsia="Times New Roman" w:hAnsi="Times New Roman" w:cs="Times New Roman"/>
        <w:b/>
        <w:color w:val="000000"/>
        <w:sz w:val="20"/>
        <w:szCs w:val="20"/>
        <w:highlight w:val="yellow"/>
        <w:lang w:val="en-US"/>
      </w:rPr>
      <w:t xml:space="preserve">Februari </w:t>
    </w:r>
    <w:r>
      <w:rPr>
        <w:rFonts w:ascii="Times New Roman" w:eastAsia="Times New Roman" w:hAnsi="Times New Roman" w:cs="Times New Roman"/>
        <w:b/>
        <w:color w:val="000000"/>
        <w:sz w:val="20"/>
        <w:szCs w:val="20"/>
        <w:highlight w:val="yellow"/>
        <w:lang w:val="en-US"/>
      </w:rPr>
      <w:t>202</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w:t>
    </w:r>
    <w:r w:rsidR="005620F0">
      <w:rPr>
        <w:rFonts w:ascii="Times New Roman" w:eastAsia="Times New Roman" w:hAnsi="Times New Roman" w:cs="Times New Roman"/>
        <w:b/>
        <w:color w:val="000000"/>
        <w:sz w:val="20"/>
        <w:szCs w:val="20"/>
      </w:rPr>
      <w:t xml:space="preserve"> </w:t>
    </w:r>
    <w:r w:rsidR="005242D5">
      <w:rPr>
        <w:rFonts w:ascii="Times New Roman" w:eastAsia="Times New Roman" w:hAnsi="Times New Roman" w:cs="Times New Roman"/>
        <w:color w:val="000000"/>
        <w:sz w:val="20"/>
        <w:szCs w:val="20"/>
        <w:lang w:val="en-US"/>
      </w:rPr>
      <w:t>LaelaFN</w:t>
    </w:r>
    <w:r w:rsidR="005242D5">
      <w:rPr>
        <w:rFonts w:ascii="Times New Roman" w:eastAsia="Times New Roman" w:hAnsi="Times New Roman" w:cs="Times New Roman"/>
        <w:color w:val="000000"/>
        <w:sz w:val="20"/>
        <w:szCs w:val="20"/>
      </w:rPr>
      <w:t xml:space="preserve"> 1, </w:t>
    </w:r>
    <w:r w:rsidR="005242D5">
      <w:rPr>
        <w:rFonts w:ascii="Times New Roman" w:eastAsia="Times New Roman" w:hAnsi="Times New Roman" w:cs="Times New Roman"/>
        <w:color w:val="000000"/>
        <w:sz w:val="20"/>
        <w:szCs w:val="20"/>
        <w:lang w:val="en-US"/>
      </w:rPr>
      <w:t>Joko S</w:t>
    </w:r>
    <w:r w:rsidR="005242D5">
      <w:rPr>
        <w:rFonts w:ascii="Times New Roman" w:eastAsia="Times New Roman" w:hAnsi="Times New Roman" w:cs="Times New Roman"/>
        <w:color w:val="000000"/>
        <w:sz w:val="20"/>
        <w:szCs w:val="20"/>
      </w:rPr>
      <w:t xml:space="preserve"> 2</w:t>
    </w:r>
    <w:r w:rsidR="005242D5">
      <w:rPr>
        <w:rFonts w:ascii="Times New Roman" w:eastAsia="Times New Roman" w:hAnsi="Times New Roman" w:cs="Times New Roman"/>
        <w:color w:val="000000"/>
        <w:sz w:val="20"/>
        <w:szCs w:val="20"/>
        <w:lang w:val="en-US"/>
      </w:rPr>
      <w:t>, Singgih A 3</w:t>
    </w:r>
  </w:p>
  <w:p w14:paraId="1CD1B56E" w14:textId="76645D07" w:rsidR="005707DB" w:rsidRPr="005242D5" w:rsidRDefault="005707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9CD6" w14:textId="2A5165B3" w:rsidR="005707DB" w:rsidRPr="005242D5" w:rsidRDefault="00EF4A4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Wawasan Pendidikan</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 xml:space="preserve"> (1).</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lang w:val="en-US"/>
      </w:rPr>
      <w:t xml:space="preserve">Februari </w:t>
    </w:r>
    <w:r>
      <w:rPr>
        <w:rFonts w:ascii="Times New Roman" w:eastAsia="Times New Roman" w:hAnsi="Times New Roman" w:cs="Times New Roman"/>
        <w:b/>
        <w:color w:val="000000"/>
        <w:sz w:val="20"/>
        <w:szCs w:val="20"/>
        <w:lang w:val="en-US"/>
      </w:rPr>
      <w:t>202</w:t>
    </w:r>
    <w:r w:rsidR="00947831">
      <w:rPr>
        <w:rFonts w:ascii="Times New Roman" w:eastAsia="Times New Roman" w:hAnsi="Times New Roman" w:cs="Times New Roman"/>
        <w:b/>
        <w:color w:val="000000"/>
        <w:sz w:val="20"/>
        <w:szCs w:val="20"/>
        <w:lang w:val="en-US"/>
      </w:rPr>
      <w:t>2</w:t>
    </w:r>
    <w:r w:rsidR="005620F0">
      <w:rPr>
        <w:rFonts w:ascii="Times New Roman" w:eastAsia="Times New Roman" w:hAnsi="Times New Roman" w:cs="Times New Roman"/>
        <w:b/>
        <w:color w:val="000000"/>
        <w:sz w:val="20"/>
        <w:szCs w:val="20"/>
      </w:rPr>
      <w:t xml:space="preserve">. </w:t>
    </w:r>
    <w:r w:rsidR="005242D5">
      <w:rPr>
        <w:rFonts w:ascii="Times New Roman" w:eastAsia="Times New Roman" w:hAnsi="Times New Roman" w:cs="Times New Roman"/>
        <w:color w:val="000000"/>
        <w:sz w:val="20"/>
        <w:szCs w:val="20"/>
        <w:lang w:val="en-US"/>
      </w:rPr>
      <w:t>LaelaFN</w:t>
    </w:r>
    <w:r w:rsidR="005242D5">
      <w:rPr>
        <w:rFonts w:ascii="Times New Roman" w:eastAsia="Times New Roman" w:hAnsi="Times New Roman" w:cs="Times New Roman"/>
        <w:color w:val="000000"/>
        <w:sz w:val="20"/>
        <w:szCs w:val="20"/>
      </w:rPr>
      <w:t xml:space="preserve"> 1, </w:t>
    </w:r>
    <w:r w:rsidR="005242D5">
      <w:rPr>
        <w:rFonts w:ascii="Times New Roman" w:eastAsia="Times New Roman" w:hAnsi="Times New Roman" w:cs="Times New Roman"/>
        <w:color w:val="000000"/>
        <w:sz w:val="20"/>
        <w:szCs w:val="20"/>
        <w:lang w:val="en-US"/>
      </w:rPr>
      <w:t>Joko S</w:t>
    </w:r>
    <w:r w:rsidR="005620F0">
      <w:rPr>
        <w:rFonts w:ascii="Times New Roman" w:eastAsia="Times New Roman" w:hAnsi="Times New Roman" w:cs="Times New Roman"/>
        <w:color w:val="000000"/>
        <w:sz w:val="20"/>
        <w:szCs w:val="20"/>
      </w:rPr>
      <w:t xml:space="preserve"> 2</w:t>
    </w:r>
    <w:r w:rsidR="005242D5">
      <w:rPr>
        <w:rFonts w:ascii="Times New Roman" w:eastAsia="Times New Roman" w:hAnsi="Times New Roman" w:cs="Times New Roman"/>
        <w:color w:val="000000"/>
        <w:sz w:val="20"/>
        <w:szCs w:val="20"/>
        <w:lang w:val="en-US"/>
      </w:rPr>
      <w:t>, Singgih A 3</w:t>
    </w:r>
  </w:p>
  <w:p w14:paraId="75A69E52" w14:textId="77777777" w:rsidR="005707DB" w:rsidRDefault="005707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0105" w14:textId="4A4BB5F4" w:rsidR="005707DB" w:rsidRDefault="005707DB">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5707DB" w14:paraId="14276BED" w14:textId="77777777">
      <w:tc>
        <w:tcPr>
          <w:tcW w:w="9071" w:type="dxa"/>
          <w:tcBorders>
            <w:top w:val="nil"/>
            <w:bottom w:val="nil"/>
          </w:tcBorders>
        </w:tcPr>
        <w:p w14:paraId="7A94C2A7" w14:textId="34297646" w:rsidR="005707DB" w:rsidRPr="00947831" w:rsidRDefault="005620F0">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sidR="00947831">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Nomor 1, </w:t>
          </w:r>
          <w:r w:rsidR="00947831">
            <w:rPr>
              <w:rFonts w:ascii="Times New Roman" w:eastAsia="Times New Roman" w:hAnsi="Times New Roman" w:cs="Times New Roman"/>
              <w:highlight w:val="yellow"/>
              <w:lang w:val="en-US"/>
            </w:rPr>
            <w:t xml:space="preserve">Februari </w:t>
          </w:r>
          <w:r w:rsidRPr="00EF4A43">
            <w:rPr>
              <w:rFonts w:ascii="Times New Roman" w:eastAsia="Times New Roman" w:hAnsi="Times New Roman" w:cs="Times New Roman"/>
              <w:highlight w:val="yellow"/>
            </w:rPr>
            <w:t>2</w:t>
          </w:r>
          <w:r w:rsidR="00EF4A43" w:rsidRPr="00EF4A43">
            <w:rPr>
              <w:rFonts w:ascii="Times New Roman" w:eastAsia="Times New Roman" w:hAnsi="Times New Roman" w:cs="Times New Roman"/>
              <w:highlight w:val="yellow"/>
              <w:lang w:val="en-US"/>
            </w:rPr>
            <w:t>02</w:t>
          </w:r>
          <w:r w:rsidR="00947831">
            <w:rPr>
              <w:rFonts w:ascii="Times New Roman" w:eastAsia="Times New Roman" w:hAnsi="Times New Roman" w:cs="Times New Roman"/>
              <w:lang w:val="en-US"/>
            </w:rPr>
            <w:t>2</w:t>
          </w:r>
          <w:r>
            <w:rPr>
              <w:rFonts w:ascii="Times New Roman" w:eastAsia="Times New Roman" w:hAnsi="Times New Roman" w:cs="Times New Roman"/>
            </w:rPr>
            <w:tab/>
            <w:t>P ISSN : 2</w:t>
          </w:r>
          <w:r w:rsidR="00947831">
            <w:rPr>
              <w:rFonts w:ascii="Times New Roman" w:eastAsia="Times New Roman" w:hAnsi="Times New Roman" w:cs="Times New Roman"/>
              <w:lang w:val="en-US"/>
            </w:rPr>
            <w:t>807</w:t>
          </w:r>
          <w:r>
            <w:rPr>
              <w:rFonts w:ascii="Times New Roman" w:eastAsia="Times New Roman" w:hAnsi="Times New Roman" w:cs="Times New Roman"/>
            </w:rPr>
            <w:t>-57</w:t>
          </w:r>
          <w:r w:rsidR="00947831">
            <w:rPr>
              <w:rFonts w:ascii="Times New Roman" w:eastAsia="Times New Roman" w:hAnsi="Times New Roman" w:cs="Times New Roman"/>
              <w:lang w:val="en-US"/>
            </w:rPr>
            <w:t>14</w:t>
          </w:r>
        </w:p>
        <w:p w14:paraId="37FC7675" w14:textId="5657F34B" w:rsidR="005707DB" w:rsidRPr="00947831" w:rsidRDefault="005620F0">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sidR="00947831">
            <w:rPr>
              <w:rFonts w:ascii="Times New Roman" w:eastAsia="Times New Roman" w:hAnsi="Times New Roman" w:cs="Times New Roman"/>
              <w:lang w:val="en-US"/>
            </w:rPr>
            <w:t>807</w:t>
          </w:r>
          <w:r>
            <w:rPr>
              <w:rFonts w:ascii="Times New Roman" w:eastAsia="Times New Roman" w:hAnsi="Times New Roman" w:cs="Times New Roman"/>
            </w:rPr>
            <w:t>-</w:t>
          </w:r>
          <w:r w:rsidR="00947831">
            <w:rPr>
              <w:rFonts w:ascii="Times New Roman" w:eastAsia="Times New Roman" w:hAnsi="Times New Roman" w:cs="Times New Roman"/>
              <w:lang w:val="en-US"/>
            </w:rPr>
            <w:t>4025</w:t>
          </w:r>
        </w:p>
        <w:p w14:paraId="6B592EA8" w14:textId="6FC233A0" w:rsidR="005707DB" w:rsidRDefault="00CD3FC0">
          <w:pPr>
            <w:tabs>
              <w:tab w:val="right" w:pos="8497"/>
            </w:tabs>
            <w:spacing w:after="0"/>
          </w:pPr>
          <w:r>
            <w:rPr>
              <w:rFonts w:ascii="Times New Roman" w:eastAsia="Times New Roman" w:hAnsi="Times New Roman" w:cs="Times New Roman"/>
              <w:noProof/>
              <w:lang w:val="en-US"/>
            </w:rPr>
            <w:drawing>
              <wp:inline distT="0" distB="0" distL="0" distR="0" wp14:anchorId="67CEAE09" wp14:editId="1F0722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5707DB" w:rsidRDefault="005620F0">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sidR="00CD3FC0">
            <w:rPr>
              <w:rFonts w:ascii="Times New Roman" w:eastAsia="Times New Roman" w:hAnsi="Times New Roman" w:cs="Times New Roman"/>
              <w:sz w:val="24"/>
              <w:szCs w:val="24"/>
              <w:lang w:val="en-US"/>
            </w:rPr>
            <w:t>wp</w:t>
          </w:r>
          <w:r>
            <w:rPr>
              <w:rFonts w:ascii="Times New Roman" w:eastAsia="Times New Roman" w:hAnsi="Times New Roman" w:cs="Times New Roman"/>
              <w:sz w:val="24"/>
              <w:szCs w:val="24"/>
            </w:rPr>
            <w:t xml:space="preserve"> </w:t>
          </w:r>
          <w:r>
            <w:rPr>
              <w:noProof/>
              <w:lang w:val="en-US"/>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5707DB" w:rsidRDefault="005707DB">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55B84"/>
    <w:multiLevelType w:val="hybridMultilevel"/>
    <w:tmpl w:val="154A2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DB"/>
    <w:rsid w:val="001C0035"/>
    <w:rsid w:val="002347D9"/>
    <w:rsid w:val="00312B01"/>
    <w:rsid w:val="00321B5F"/>
    <w:rsid w:val="004647F8"/>
    <w:rsid w:val="004833E5"/>
    <w:rsid w:val="004B2B45"/>
    <w:rsid w:val="005242D5"/>
    <w:rsid w:val="005620F0"/>
    <w:rsid w:val="005707DB"/>
    <w:rsid w:val="00596317"/>
    <w:rsid w:val="00765D1B"/>
    <w:rsid w:val="00947831"/>
    <w:rsid w:val="009E6ED2"/>
    <w:rsid w:val="00B175D3"/>
    <w:rsid w:val="00B3621F"/>
    <w:rsid w:val="00BF1301"/>
    <w:rsid w:val="00CA7983"/>
    <w:rsid w:val="00CD3FC0"/>
    <w:rsid w:val="00DD3790"/>
    <w:rsid w:val="00E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D9"/>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6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F8"/>
    <w:rPr>
      <w:rFonts w:ascii="Tahoma" w:hAnsi="Tahoma" w:cs="Tahoma"/>
      <w:sz w:val="16"/>
      <w:szCs w:val="16"/>
    </w:rPr>
  </w:style>
  <w:style w:type="table" w:styleId="LightShading">
    <w:name w:val="Light Shading"/>
    <w:basedOn w:val="TableNormal"/>
    <w:uiPriority w:val="60"/>
    <w:rsid w:val="00B175D3"/>
    <w:pPr>
      <w:spacing w:after="0" w:line="240" w:lineRule="auto"/>
    </w:pPr>
    <w:rPr>
      <w:rFonts w:ascii="Times New Roman" w:eastAsiaTheme="minorEastAsia" w:hAnsi="Times New Roman" w:cs="Times New Roman"/>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175D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aliases w:val="Body of text,List Paragraph1,Medium Grid 1 - Accent 21,Body of text+1,Body of text+2,Body of text+3,List Paragraph11,Colorful List - Accent 11,Body of text1,rpp3"/>
    <w:basedOn w:val="Normal"/>
    <w:uiPriority w:val="34"/>
    <w:qFormat/>
    <w:rsid w:val="00B175D3"/>
    <w:pPr>
      <w:ind w:left="720"/>
      <w:contextualSpacing/>
    </w:pPr>
    <w:rPr>
      <w:rFonts w:asciiTheme="minorHAnsi" w:eastAsiaTheme="minorEastAsia"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D9"/>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6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F8"/>
    <w:rPr>
      <w:rFonts w:ascii="Tahoma" w:hAnsi="Tahoma" w:cs="Tahoma"/>
      <w:sz w:val="16"/>
      <w:szCs w:val="16"/>
    </w:rPr>
  </w:style>
  <w:style w:type="table" w:styleId="LightShading">
    <w:name w:val="Light Shading"/>
    <w:basedOn w:val="TableNormal"/>
    <w:uiPriority w:val="60"/>
    <w:rsid w:val="00B175D3"/>
    <w:pPr>
      <w:spacing w:after="0" w:line="240" w:lineRule="auto"/>
    </w:pPr>
    <w:rPr>
      <w:rFonts w:ascii="Times New Roman" w:eastAsiaTheme="minorEastAsia" w:hAnsi="Times New Roman" w:cs="Times New Roman"/>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175D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aliases w:val="Body of text,List Paragraph1,Medium Grid 1 - Accent 21,Body of text+1,Body of text+2,Body of text+3,List Paragraph11,Colorful List - Accent 11,Body of text1,rpp3"/>
    <w:basedOn w:val="Normal"/>
    <w:uiPriority w:val="34"/>
    <w:qFormat/>
    <w:rsid w:val="00B175D3"/>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2021-10-15T09:14:00Z</dcterms:created>
  <dcterms:modified xsi:type="dcterms:W3CDTF">2021-10-15T09:14:00Z</dcterms:modified>
</cp:coreProperties>
</file>